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969"/>
        <w:gridCol w:w="1496"/>
        <w:gridCol w:w="1375"/>
        <w:gridCol w:w="1417"/>
        <w:gridCol w:w="1843"/>
        <w:gridCol w:w="1322"/>
        <w:gridCol w:w="797"/>
      </w:tblGrid>
      <w:tr w:rsidR="00747CD1" w:rsidRPr="00747CD1" w14:paraId="2A81E1B6" w14:textId="77777777" w:rsidTr="00E25C4F">
        <w:trPr>
          <w:trHeight w:val="678"/>
          <w:tblHeader/>
        </w:trPr>
        <w:tc>
          <w:tcPr>
            <w:tcW w:w="16042" w:type="dxa"/>
            <w:gridSpan w:val="8"/>
            <w:shd w:val="clear" w:color="auto" w:fill="E2EFD9" w:themeFill="accent6" w:themeFillTint="33"/>
            <w:noWrap/>
          </w:tcPr>
          <w:p w14:paraId="15808FF5" w14:textId="4B4D57BF" w:rsidR="00747CD1" w:rsidRPr="003864BD" w:rsidRDefault="00747CD1" w:rsidP="00747CD1">
            <w:pPr>
              <w:spacing w:before="120"/>
              <w:jc w:val="center"/>
              <w:rPr>
                <w:b/>
                <w:i/>
                <w:sz w:val="28"/>
              </w:rPr>
            </w:pPr>
            <w:r w:rsidRPr="003864BD">
              <w:rPr>
                <w:b/>
                <w:i/>
                <w:sz w:val="28"/>
              </w:rPr>
              <w:t xml:space="preserve">Contracts &gt;$100,000 Senate Standing Order </w:t>
            </w:r>
            <w:r w:rsidR="00615384">
              <w:rPr>
                <w:b/>
                <w:i/>
                <w:sz w:val="28"/>
              </w:rPr>
              <w:t>Calendar</w:t>
            </w:r>
            <w:r w:rsidRPr="003864BD">
              <w:rPr>
                <w:b/>
                <w:i/>
                <w:sz w:val="28"/>
              </w:rPr>
              <w:t xml:space="preserve"> Year Report*</w:t>
            </w:r>
          </w:p>
          <w:p w14:paraId="41D88562" w14:textId="185B715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b/>
                <w:i/>
                <w:sz w:val="28"/>
              </w:rPr>
              <w:t xml:space="preserve">1 </w:t>
            </w:r>
            <w:r w:rsidR="00615384">
              <w:rPr>
                <w:b/>
                <w:i/>
                <w:sz w:val="28"/>
              </w:rPr>
              <w:t>January</w:t>
            </w:r>
            <w:r w:rsidRPr="003864B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615384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 xml:space="preserve"> </w:t>
            </w:r>
            <w:r w:rsidRPr="003864BD">
              <w:rPr>
                <w:b/>
                <w:i/>
                <w:sz w:val="28"/>
              </w:rPr>
              <w:t>– 3</w:t>
            </w:r>
            <w:r w:rsidR="00615384">
              <w:rPr>
                <w:b/>
                <w:i/>
                <w:sz w:val="28"/>
              </w:rPr>
              <w:t>1</w:t>
            </w:r>
            <w:r w:rsidRPr="003864BD">
              <w:rPr>
                <w:b/>
                <w:i/>
                <w:sz w:val="28"/>
              </w:rPr>
              <w:t xml:space="preserve"> </w:t>
            </w:r>
            <w:r w:rsidR="00615384">
              <w:rPr>
                <w:b/>
                <w:i/>
                <w:sz w:val="28"/>
              </w:rPr>
              <w:t>December</w:t>
            </w:r>
            <w:r w:rsidRPr="003864BD">
              <w:rPr>
                <w:b/>
                <w:i/>
                <w:sz w:val="28"/>
              </w:rPr>
              <w:t xml:space="preserve"> 202</w:t>
            </w:r>
            <w:r w:rsidR="00293A0A">
              <w:rPr>
                <w:b/>
                <w:i/>
                <w:sz w:val="28"/>
              </w:rPr>
              <w:t>2</w:t>
            </w:r>
          </w:p>
        </w:tc>
      </w:tr>
      <w:tr w:rsidR="00747CD1" w:rsidRPr="00747CD1" w14:paraId="0D9815C6" w14:textId="77777777" w:rsidTr="00E25C4F">
        <w:trPr>
          <w:trHeight w:val="660"/>
          <w:tblHeader/>
        </w:trPr>
        <w:tc>
          <w:tcPr>
            <w:tcW w:w="3823" w:type="dxa"/>
            <w:vMerge w:val="restart"/>
            <w:shd w:val="clear" w:color="auto" w:fill="E2EFD9" w:themeFill="accent6" w:themeFillTint="33"/>
            <w:noWrap/>
            <w:vAlign w:val="center"/>
          </w:tcPr>
          <w:p w14:paraId="48E4AC05" w14:textId="47E4E69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  <w:t>Contractor</w:t>
            </w:r>
          </w:p>
        </w:tc>
        <w:tc>
          <w:tcPr>
            <w:tcW w:w="3969" w:type="dxa"/>
            <w:vMerge w:val="restart"/>
            <w:shd w:val="clear" w:color="auto" w:fill="E2EFD9" w:themeFill="accent6" w:themeFillTint="33"/>
            <w:noWrap/>
            <w:vAlign w:val="center"/>
          </w:tcPr>
          <w:p w14:paraId="07A80C12" w14:textId="336E47C1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Subject matter</w:t>
            </w:r>
          </w:p>
        </w:tc>
        <w:tc>
          <w:tcPr>
            <w:tcW w:w="1496" w:type="dxa"/>
            <w:vMerge w:val="restart"/>
            <w:shd w:val="clear" w:color="auto" w:fill="E2EFD9" w:themeFill="accent6" w:themeFillTint="33"/>
            <w:noWrap/>
            <w:vAlign w:val="center"/>
          </w:tcPr>
          <w:p w14:paraId="6415361F" w14:textId="77777777" w:rsidR="00747CD1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Amount of consideration</w:t>
            </w:r>
          </w:p>
          <w:p w14:paraId="54E3B041" w14:textId="16FECA41" w:rsidR="00E25C4F" w:rsidRPr="00747CD1" w:rsidRDefault="00E25C4F" w:rsidP="00747CD1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AU"/>
              </w:rPr>
              <w:t>AUD</w:t>
            </w:r>
          </w:p>
        </w:tc>
        <w:tc>
          <w:tcPr>
            <w:tcW w:w="1375" w:type="dxa"/>
            <w:vMerge w:val="restart"/>
            <w:shd w:val="clear" w:color="auto" w:fill="E2EFD9" w:themeFill="accent6" w:themeFillTint="33"/>
            <w:noWrap/>
            <w:vAlign w:val="center"/>
          </w:tcPr>
          <w:p w14:paraId="3DEDA3C7" w14:textId="71F8AE2C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noWrap/>
            <w:vAlign w:val="center"/>
          </w:tcPr>
          <w:p w14:paraId="60B0CDED" w14:textId="6C3EBCF3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  <w:t>Anticipated end date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noWrap/>
            <w:vAlign w:val="center"/>
          </w:tcPr>
          <w:p w14:paraId="79D8E59F" w14:textId="3DE3B6EE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Whether contract contains provisions requiring the parties to maintain confidentiality of any of its provisions.</w:t>
            </w:r>
          </w:p>
        </w:tc>
        <w:tc>
          <w:tcPr>
            <w:tcW w:w="2119" w:type="dxa"/>
            <w:gridSpan w:val="2"/>
            <w:shd w:val="clear" w:color="auto" w:fill="E2EFD9" w:themeFill="accent6" w:themeFillTint="33"/>
            <w:noWrap/>
            <w:vAlign w:val="bottom"/>
          </w:tcPr>
          <w:p w14:paraId="12BD9209" w14:textId="2EB7C2EF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Confidentiality</w:t>
            </w:r>
          </w:p>
        </w:tc>
      </w:tr>
      <w:tr w:rsidR="00747CD1" w:rsidRPr="00747CD1" w14:paraId="45E2B317" w14:textId="77777777" w:rsidTr="00E25C4F">
        <w:trPr>
          <w:trHeight w:val="660"/>
          <w:tblHeader/>
        </w:trPr>
        <w:tc>
          <w:tcPr>
            <w:tcW w:w="3823" w:type="dxa"/>
            <w:vMerge/>
            <w:shd w:val="clear" w:color="auto" w:fill="E2EFD9" w:themeFill="accent6" w:themeFillTint="33"/>
            <w:noWrap/>
            <w:vAlign w:val="center"/>
          </w:tcPr>
          <w:p w14:paraId="68BD05B2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  <w:noWrap/>
            <w:vAlign w:val="center"/>
          </w:tcPr>
          <w:p w14:paraId="36905D2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96" w:type="dxa"/>
            <w:vMerge/>
            <w:shd w:val="clear" w:color="auto" w:fill="E2EFD9" w:themeFill="accent6" w:themeFillTint="33"/>
            <w:noWrap/>
            <w:vAlign w:val="center"/>
          </w:tcPr>
          <w:p w14:paraId="5B5157D6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5" w:type="dxa"/>
            <w:vMerge/>
            <w:shd w:val="clear" w:color="auto" w:fill="E2EFD9" w:themeFill="accent6" w:themeFillTint="33"/>
            <w:noWrap/>
            <w:vAlign w:val="center"/>
          </w:tcPr>
          <w:p w14:paraId="5AA383F5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noWrap/>
            <w:vAlign w:val="center"/>
          </w:tcPr>
          <w:p w14:paraId="4E0A3854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noWrap/>
            <w:vAlign w:val="center"/>
          </w:tcPr>
          <w:p w14:paraId="791FBEB0" w14:textId="77777777" w:rsidR="00747CD1" w:rsidRPr="003864BD" w:rsidRDefault="00747CD1" w:rsidP="00747CD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2" w:type="dxa"/>
            <w:shd w:val="clear" w:color="auto" w:fill="E2EFD9" w:themeFill="accent6" w:themeFillTint="33"/>
            <w:noWrap/>
            <w:vAlign w:val="center"/>
          </w:tcPr>
          <w:p w14:paraId="51E34D6A" w14:textId="26E1D1E2" w:rsidR="00747CD1" w:rsidRP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other requirements</w:t>
            </w:r>
          </w:p>
        </w:tc>
        <w:tc>
          <w:tcPr>
            <w:tcW w:w="797" w:type="dxa"/>
            <w:shd w:val="clear" w:color="auto" w:fill="E2EFD9" w:themeFill="accent6" w:themeFillTint="33"/>
            <w:vAlign w:val="center"/>
          </w:tcPr>
          <w:p w14:paraId="181DAF81" w14:textId="403D8313" w:rsidR="00747CD1" w:rsidRDefault="00747CD1" w:rsidP="00747CD1">
            <w:pPr>
              <w:jc w:val="center"/>
              <w:rPr>
                <w:rFonts w:eastAsia="Times New Roman" w:cs="Calibri"/>
                <w:lang w:eastAsia="en-AU"/>
              </w:rPr>
            </w:pPr>
            <w:r w:rsidRPr="003864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reasons for</w:t>
            </w:r>
          </w:p>
        </w:tc>
      </w:tr>
      <w:tr w:rsidR="00747CD1" w:rsidRPr="00747CD1" w14:paraId="047C032D" w14:textId="7A9C9B6E" w:rsidTr="00E25C4F">
        <w:trPr>
          <w:trHeight w:val="290"/>
        </w:trPr>
        <w:tc>
          <w:tcPr>
            <w:tcW w:w="3823" w:type="dxa"/>
            <w:shd w:val="clear" w:color="auto" w:fill="auto"/>
            <w:noWrap/>
            <w:hideMark/>
          </w:tcPr>
          <w:p w14:paraId="0DC55EEA" w14:textId="77777777" w:rsidR="00747CD1" w:rsidRPr="006D67A9" w:rsidRDefault="00747CD1" w:rsidP="00747CD1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Knight Frank Aust Pty Ltd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7D6F426" w14:textId="77777777" w:rsidR="00747CD1" w:rsidRPr="00E25C4F" w:rsidRDefault="00747CD1" w:rsidP="00747CD1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Lease Agreement for ACIAR House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14:paraId="3C613809" w14:textId="07B9F2EF" w:rsidR="00747CD1" w:rsidRPr="00E25C4F" w:rsidRDefault="00E25C4F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747CD1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7,936,222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14:paraId="78AF9020" w14:textId="05339E45" w:rsidR="00747CD1" w:rsidRPr="00E25C4F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6D67A9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Sep</w:t>
            </w:r>
            <w:r w:rsidR="006D67A9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t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391A2F" w14:textId="77777777" w:rsidR="00747CD1" w:rsidRPr="00E25C4F" w:rsidRDefault="00747CD1" w:rsidP="00747CD1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31-Jul-25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3AE289B" w14:textId="77777777" w:rsidR="00747CD1" w:rsidRPr="00E25C4F" w:rsidRDefault="00747CD1" w:rsidP="00747CD1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2B58B09B" w14:textId="77777777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6503C3D2" w14:textId="26E9DB93" w:rsidR="00747CD1" w:rsidRPr="006D67A9" w:rsidRDefault="00747CD1" w:rsidP="00747CD1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5C927D36" w14:textId="77777777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19AB51D4" w14:textId="2D9C7AE1" w:rsidR="003C6675" w:rsidRPr="00813522" w:rsidRDefault="007D20FB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International Development Research Centre</w:t>
            </w:r>
          </w:p>
        </w:tc>
        <w:tc>
          <w:tcPr>
            <w:tcW w:w="3969" w:type="dxa"/>
            <w:shd w:val="clear" w:color="auto" w:fill="auto"/>
            <w:noWrap/>
          </w:tcPr>
          <w:p w14:paraId="5C6F014A" w14:textId="5BD8940E" w:rsidR="003C6675" w:rsidRPr="00E25C4F" w:rsidRDefault="003C6675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IDRC Partnership</w:t>
            </w:r>
          </w:p>
        </w:tc>
        <w:tc>
          <w:tcPr>
            <w:tcW w:w="1496" w:type="dxa"/>
            <w:shd w:val="clear" w:color="auto" w:fill="auto"/>
            <w:noWrap/>
          </w:tcPr>
          <w:p w14:paraId="29915478" w14:textId="013D59D0" w:rsidR="003C6675" w:rsidRPr="00E25C4F" w:rsidRDefault="00A3302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CAD</w:t>
            </w:r>
            <w:r w:rsidR="00D83FBA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14,835,902</w:t>
            </w:r>
          </w:p>
        </w:tc>
        <w:tc>
          <w:tcPr>
            <w:tcW w:w="1375" w:type="dxa"/>
            <w:shd w:val="clear" w:color="auto" w:fill="auto"/>
            <w:noWrap/>
          </w:tcPr>
          <w:p w14:paraId="4762383D" w14:textId="20C2FB60" w:rsidR="003C6675" w:rsidRPr="00E25C4F" w:rsidRDefault="003C667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17-Jun-20</w:t>
            </w:r>
          </w:p>
        </w:tc>
        <w:tc>
          <w:tcPr>
            <w:tcW w:w="1417" w:type="dxa"/>
            <w:shd w:val="clear" w:color="auto" w:fill="auto"/>
            <w:noWrap/>
          </w:tcPr>
          <w:p w14:paraId="1E14624A" w14:textId="4ABB5591" w:rsidR="003C6675" w:rsidRPr="00E25C4F" w:rsidRDefault="00A3302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color w:val="000000" w:themeColor="text1"/>
                <w:sz w:val="20"/>
                <w:szCs w:val="20"/>
                <w:lang w:eastAsia="en-AU"/>
              </w:rPr>
              <w:t>30-Sep-23</w:t>
            </w:r>
          </w:p>
        </w:tc>
        <w:tc>
          <w:tcPr>
            <w:tcW w:w="1843" w:type="dxa"/>
            <w:shd w:val="clear" w:color="auto" w:fill="auto"/>
            <w:noWrap/>
          </w:tcPr>
          <w:p w14:paraId="0F0B7A77" w14:textId="7378E030" w:rsidR="003C6675" w:rsidRPr="00E25C4F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665E8F1" w14:textId="7F3D9323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EA64ADA" w14:textId="78428FBC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C6675" w:rsidRPr="00813522" w14:paraId="7955C133" w14:textId="77777777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63BEEBEE" w14:textId="1F7EDC61" w:rsidR="003C6675" w:rsidRPr="00813522" w:rsidRDefault="007D20FB" w:rsidP="003C6675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The World Vegetable Center</w:t>
            </w:r>
          </w:p>
        </w:tc>
        <w:tc>
          <w:tcPr>
            <w:tcW w:w="3969" w:type="dxa"/>
            <w:shd w:val="clear" w:color="auto" w:fill="auto"/>
            <w:noWrap/>
          </w:tcPr>
          <w:p w14:paraId="2E6DE241" w14:textId="3D5FE70E" w:rsidR="003C6675" w:rsidRPr="00E25C4F" w:rsidRDefault="003C6675" w:rsidP="003C6675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ACIAR-World Vegetable Center Partnership Arrangement</w:t>
            </w:r>
          </w:p>
        </w:tc>
        <w:tc>
          <w:tcPr>
            <w:tcW w:w="1496" w:type="dxa"/>
            <w:shd w:val="clear" w:color="auto" w:fill="auto"/>
            <w:noWrap/>
          </w:tcPr>
          <w:p w14:paraId="488D9474" w14:textId="06DCF6DA" w:rsidR="003C6675" w:rsidRPr="00E25C4F" w:rsidRDefault="00E25C4F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3C6675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1,708,000</w:t>
            </w:r>
          </w:p>
        </w:tc>
        <w:tc>
          <w:tcPr>
            <w:tcW w:w="1375" w:type="dxa"/>
            <w:shd w:val="clear" w:color="auto" w:fill="auto"/>
            <w:noWrap/>
          </w:tcPr>
          <w:p w14:paraId="7A8512DC" w14:textId="6D39ACEE" w:rsidR="003C6675" w:rsidRPr="00E25C4F" w:rsidRDefault="003C667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18-Jan-19</w:t>
            </w:r>
          </w:p>
        </w:tc>
        <w:tc>
          <w:tcPr>
            <w:tcW w:w="1417" w:type="dxa"/>
            <w:shd w:val="clear" w:color="auto" w:fill="auto"/>
            <w:noWrap/>
          </w:tcPr>
          <w:p w14:paraId="5E317144" w14:textId="1E4395D9" w:rsidR="003C6675" w:rsidRPr="00E25C4F" w:rsidRDefault="003C6675" w:rsidP="003C6675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31-Mar-23</w:t>
            </w:r>
          </w:p>
        </w:tc>
        <w:tc>
          <w:tcPr>
            <w:tcW w:w="1843" w:type="dxa"/>
            <w:shd w:val="clear" w:color="auto" w:fill="auto"/>
            <w:noWrap/>
          </w:tcPr>
          <w:p w14:paraId="29D3148C" w14:textId="2C912066" w:rsidR="003C6675" w:rsidRPr="00E25C4F" w:rsidRDefault="003C6675" w:rsidP="003C6675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1C80658" w14:textId="5694C1B2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11A81C63" w14:textId="23D79EEF" w:rsidR="003C6675" w:rsidRPr="00813522" w:rsidRDefault="003C6675" w:rsidP="003C6675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AB1CB4" w:rsidRPr="00813522" w14:paraId="52B947FA" w14:textId="77777777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7F71D072" w14:textId="30031910" w:rsidR="00AB1CB4" w:rsidRPr="00AB1CB4" w:rsidRDefault="00AB1CB4" w:rsidP="00AB1CB4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AB1CB4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CAB International UK</w:t>
            </w:r>
          </w:p>
        </w:tc>
        <w:tc>
          <w:tcPr>
            <w:tcW w:w="3969" w:type="dxa"/>
            <w:shd w:val="clear" w:color="auto" w:fill="auto"/>
            <w:noWrap/>
          </w:tcPr>
          <w:p w14:paraId="4C569788" w14:textId="3FBE59E4" w:rsidR="00AB1CB4" w:rsidRPr="00E25C4F" w:rsidRDefault="00AB1CB4" w:rsidP="00AB1CB4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ACIAR-CABI Partnership Arrangement</w:t>
            </w:r>
          </w:p>
        </w:tc>
        <w:tc>
          <w:tcPr>
            <w:tcW w:w="1496" w:type="dxa"/>
            <w:shd w:val="clear" w:color="auto" w:fill="auto"/>
            <w:noWrap/>
          </w:tcPr>
          <w:p w14:paraId="31000876" w14:textId="65F6ABCF" w:rsidR="00AB1CB4" w:rsidRPr="00E25C4F" w:rsidRDefault="00E25C4F" w:rsidP="00AB1CB4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AB1CB4" w:rsidRPr="00E25C4F">
              <w:rPr>
                <w:color w:val="000000" w:themeColor="text1"/>
                <w:sz w:val="20"/>
                <w:szCs w:val="20"/>
                <w:lang w:eastAsia="en-AU"/>
              </w:rPr>
              <w:t>2,120,000</w:t>
            </w:r>
          </w:p>
        </w:tc>
        <w:tc>
          <w:tcPr>
            <w:tcW w:w="1375" w:type="dxa"/>
            <w:shd w:val="clear" w:color="auto" w:fill="auto"/>
            <w:noWrap/>
          </w:tcPr>
          <w:p w14:paraId="6951585A" w14:textId="48B118F2" w:rsidR="00AB1CB4" w:rsidRPr="00E25C4F" w:rsidRDefault="00AB1CB4" w:rsidP="00AB1CB4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color w:val="000000" w:themeColor="text1"/>
                <w:sz w:val="20"/>
                <w:szCs w:val="20"/>
                <w:lang w:eastAsia="en-AU"/>
              </w:rPr>
              <w:t>21-Dec-18</w:t>
            </w:r>
          </w:p>
        </w:tc>
        <w:tc>
          <w:tcPr>
            <w:tcW w:w="1417" w:type="dxa"/>
            <w:shd w:val="clear" w:color="auto" w:fill="auto"/>
            <w:noWrap/>
          </w:tcPr>
          <w:p w14:paraId="70B76B74" w14:textId="030CDC85" w:rsidR="00AB1CB4" w:rsidRPr="00E25C4F" w:rsidRDefault="00AB1CB4" w:rsidP="00AB1CB4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color w:val="000000" w:themeColor="text1"/>
                <w:sz w:val="20"/>
                <w:szCs w:val="20"/>
                <w:lang w:eastAsia="en-AU"/>
              </w:rPr>
              <w:t>31-Mar-23</w:t>
            </w:r>
          </w:p>
        </w:tc>
        <w:tc>
          <w:tcPr>
            <w:tcW w:w="1843" w:type="dxa"/>
            <w:shd w:val="clear" w:color="auto" w:fill="auto"/>
            <w:noWrap/>
          </w:tcPr>
          <w:p w14:paraId="47A23D85" w14:textId="21F9056D" w:rsidR="00AB1CB4" w:rsidRPr="00E25C4F" w:rsidRDefault="00AB1CB4" w:rsidP="00AB1CB4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361F053D" w14:textId="6951EED4" w:rsidR="00AB1CB4" w:rsidRPr="00813522" w:rsidRDefault="00AB1CB4" w:rsidP="00AB1CB4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F18BA8B" w14:textId="074418C1" w:rsidR="00AB1CB4" w:rsidRPr="00813522" w:rsidRDefault="00AB1CB4" w:rsidP="00AB1CB4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3D59FE" w:rsidRPr="00813522" w14:paraId="14E0F007" w14:textId="77777777" w:rsidTr="00E25C4F">
        <w:trPr>
          <w:trHeight w:val="290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6B1265F" w14:textId="77777777" w:rsidR="003D59FE" w:rsidRPr="001B0E7A" w:rsidRDefault="003D59FE" w:rsidP="003F7D3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1B0E7A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Asia Pacific Association of Agricultural Research Institutions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519F4B0" w14:textId="18C3EE8F" w:rsidR="003D59FE" w:rsidRPr="00E25C4F" w:rsidRDefault="003D59FE" w:rsidP="003F7D38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ACIAR Contribution to APAARI 202</w:t>
            </w:r>
            <w:r w:rsidR="00F3566B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–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  <w:r w:rsidR="00F3566B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FCCC62D" w14:textId="432A2141" w:rsidR="003D59FE" w:rsidRPr="00E25C4F" w:rsidRDefault="00E25C4F" w:rsidP="003F7D38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3D59FE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D05EE9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95</w:t>
            </w:r>
            <w:r w:rsidR="003D59FE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DDB75B5" w14:textId="4D72F9B1" w:rsidR="003D59FE" w:rsidRPr="00E25C4F" w:rsidRDefault="00D05EE9" w:rsidP="003F7D38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3D59FE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Jul</w:t>
            </w:r>
            <w:r w:rsidR="003D59FE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-21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73F4D90" w14:textId="4747C86F" w:rsidR="003D59FE" w:rsidRPr="00E25C4F" w:rsidRDefault="003D59FE" w:rsidP="003F7D38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</w:t>
            </w:r>
            <w:r w:rsidR="00D05EE9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28F589E" w14:textId="77777777" w:rsidR="003D59FE" w:rsidRPr="00E25C4F" w:rsidRDefault="003D59FE" w:rsidP="003F7D38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0476DEE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116B4" w14:textId="77777777" w:rsidR="003D59FE" w:rsidRPr="00813522" w:rsidRDefault="003D59FE" w:rsidP="003F7D38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D358AB" w:rsidRPr="00813522" w14:paraId="6C7C7E1E" w14:textId="77777777" w:rsidTr="00E25C4F">
        <w:trPr>
          <w:trHeight w:val="290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39DABBA" w14:textId="6A7FBC1E" w:rsidR="00D358AB" w:rsidRPr="00813522" w:rsidRDefault="00D358AB" w:rsidP="00D358AB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color w:val="000000"/>
                <w:sz w:val="20"/>
                <w:szCs w:val="20"/>
                <w:lang w:eastAsia="en-AU"/>
              </w:rPr>
              <w:t>The International Centre for Insect Physiology and Ecology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D1D258" w14:textId="4160BDD7" w:rsidR="00D358AB" w:rsidRPr="00E25C4F" w:rsidRDefault="00D358AB" w:rsidP="00D358AB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color w:val="000000" w:themeColor="text1"/>
                <w:sz w:val="20"/>
                <w:szCs w:val="20"/>
                <w:lang w:eastAsia="en-AU"/>
              </w:rPr>
              <w:t>ACIAR-ICIPE Partnership Arrangement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7F304B" w14:textId="424A9A86" w:rsidR="00D358AB" w:rsidRPr="00E25C4F" w:rsidRDefault="00E25C4F" w:rsidP="00D358A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D358AB" w:rsidRPr="00E25C4F">
              <w:rPr>
                <w:color w:val="000000" w:themeColor="text1"/>
                <w:sz w:val="20"/>
                <w:szCs w:val="20"/>
                <w:lang w:eastAsia="en-AU"/>
              </w:rPr>
              <w:t>1,500,000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86C7B2C" w14:textId="6C7CFFA3" w:rsidR="00D358AB" w:rsidRPr="00E25C4F" w:rsidRDefault="00D358AB" w:rsidP="00D358A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color w:val="000000" w:themeColor="text1"/>
                <w:sz w:val="20"/>
                <w:szCs w:val="20"/>
                <w:lang w:eastAsia="en-AU"/>
              </w:rPr>
              <w:t>2-Nov-22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4BE1D3A" w14:textId="12680F39" w:rsidR="00D358AB" w:rsidRPr="00E25C4F" w:rsidRDefault="00D358AB" w:rsidP="00D358AB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color w:val="000000" w:themeColor="text1"/>
                <w:sz w:val="20"/>
                <w:szCs w:val="20"/>
                <w:lang w:eastAsia="en-AU"/>
              </w:rPr>
              <w:t>30-Jun-26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741688" w14:textId="3EB8FF76" w:rsidR="00D358AB" w:rsidRPr="00E25C4F" w:rsidRDefault="00D358AB" w:rsidP="00D358AB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913ECA" w14:textId="5A2D26E9" w:rsidR="00D358AB" w:rsidRPr="00813522" w:rsidRDefault="00D358AB" w:rsidP="00D358AB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2AE11" w14:textId="113A98B5" w:rsidR="00D358AB" w:rsidRPr="00813522" w:rsidRDefault="00D358AB" w:rsidP="00D358AB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C91140" w:rsidRPr="00813522" w14:paraId="07C612CD" w14:textId="1C9F60A1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3A9C53DC" w14:textId="618961C1" w:rsidR="00C91140" w:rsidRPr="00813522" w:rsidRDefault="00C91140" w:rsidP="00C91140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3969" w:type="dxa"/>
            <w:shd w:val="clear" w:color="auto" w:fill="auto"/>
            <w:noWrap/>
          </w:tcPr>
          <w:p w14:paraId="1A49E31C" w14:textId="588A6BB2" w:rsidR="00C91140" w:rsidRPr="00E25C4F" w:rsidRDefault="00C91140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Allwright Fellowship Program </w:t>
            </w:r>
            <w:r w:rsid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22</w:t>
            </w:r>
            <w:r w:rsid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–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496" w:type="dxa"/>
            <w:shd w:val="clear" w:color="auto" w:fill="auto"/>
            <w:noWrap/>
          </w:tcPr>
          <w:p w14:paraId="1F9A67E4" w14:textId="4316CD56" w:rsidR="00C91140" w:rsidRPr="00E25C4F" w:rsidRDefault="00E25C4F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461D79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220</w:t>
            </w:r>
            <w:r w:rsidR="00C91140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shd w:val="clear" w:color="auto" w:fill="auto"/>
            <w:noWrap/>
          </w:tcPr>
          <w:p w14:paraId="01904A95" w14:textId="21D2EBA9" w:rsidR="00C91140" w:rsidRPr="00E25C4F" w:rsidRDefault="001912C1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8-Sep-22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1789E4D0" w14:textId="704BBBD4" w:rsidR="00C91140" w:rsidRPr="00E25C4F" w:rsidRDefault="00C91140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01BB943" w14:textId="300A1436" w:rsidR="00C91140" w:rsidRPr="00E25C4F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29EF912" w14:textId="0DB633D0" w:rsidR="00C91140" w:rsidRPr="00813522" w:rsidRDefault="00C91140" w:rsidP="00C91140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4ACAF8" w14:textId="21EE5E06" w:rsidR="00C91140" w:rsidRPr="00813522" w:rsidRDefault="00C91140" w:rsidP="00C91140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C91140" w:rsidRPr="00813522" w14:paraId="4C7F88F8" w14:textId="77777777" w:rsidTr="00E25C4F">
        <w:trPr>
          <w:trHeight w:val="290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1AAE5CE" w14:textId="77777777" w:rsidR="00C91140" w:rsidRPr="00813522" w:rsidRDefault="00C91140" w:rsidP="00C91140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3EF3F0" w14:textId="0A638250" w:rsidR="00C91140" w:rsidRPr="00E25C4F" w:rsidRDefault="00E25C4F" w:rsidP="00C91140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 xml:space="preserve">John Allwright Fellowship Program 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20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22</w:t>
            </w: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–</w:t>
            </w: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E2131CE" w14:textId="5CD04118" w:rsidR="00C91140" w:rsidRPr="00E25C4F" w:rsidRDefault="00E25C4F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7D1397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336</w:t>
            </w:r>
            <w:r w:rsidR="00C91140"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A8069CD" w14:textId="5C6A1EFA" w:rsidR="00C91140" w:rsidRPr="00E25C4F" w:rsidRDefault="00035A85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67BFA1" w14:textId="77777777" w:rsidR="00C91140" w:rsidRPr="00E25C4F" w:rsidRDefault="00C91140" w:rsidP="00C91140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62F5B62" w14:textId="77777777" w:rsidR="00C91140" w:rsidRPr="00E25C4F" w:rsidRDefault="00C91140" w:rsidP="00C91140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1D1748D" w14:textId="77777777" w:rsidR="00C91140" w:rsidRPr="00813522" w:rsidRDefault="00C91140" w:rsidP="00C91140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116AB" w14:textId="77777777" w:rsidR="00C91140" w:rsidRPr="00813522" w:rsidRDefault="00C91140" w:rsidP="00C91140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813522" w14:paraId="4F98DE86" w14:textId="77777777" w:rsidTr="00E25C4F">
        <w:trPr>
          <w:trHeight w:val="290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E2691E" w14:textId="77777777" w:rsidR="00E25C4F" w:rsidRPr="00813522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9E77E31" w14:textId="6AB872F7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0E0CC8E" w14:textId="3C5E224A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$150,700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B144A9D" w14:textId="77777777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47F3982" w14:textId="77777777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CE0D36" w14:textId="77777777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EDDBA6A" w14:textId="77777777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4560A2" w14:textId="77777777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813522" w14:paraId="247E38AA" w14:textId="77777777" w:rsidTr="00E25C4F">
        <w:trPr>
          <w:trHeight w:val="290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7BE22A" w14:textId="27146332" w:rsidR="00E25C4F" w:rsidRPr="00813522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CA02A57" w14:textId="69C9E989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7853794" w14:textId="0256524B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$192,500</w:t>
            </w: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B1F8DD" w14:textId="77777777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2A516CC" w14:textId="77777777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26841C9" w14:textId="77777777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4B0A644" w14:textId="77777777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76E46" w14:textId="77777777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813522" w14:paraId="4AB56969" w14:textId="4F3230F3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55F61A58" w14:textId="0E6A1BB3" w:rsidR="00E25C4F" w:rsidRPr="00813522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969" w:type="dxa"/>
            <w:shd w:val="clear" w:color="auto" w:fill="auto"/>
            <w:noWrap/>
          </w:tcPr>
          <w:p w14:paraId="5D5D8865" w14:textId="638A9115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shd w:val="clear" w:color="auto" w:fill="auto"/>
            <w:noWrap/>
          </w:tcPr>
          <w:p w14:paraId="68467024" w14:textId="449FBFD1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$100,100</w:t>
            </w:r>
          </w:p>
        </w:tc>
        <w:tc>
          <w:tcPr>
            <w:tcW w:w="1375" w:type="dxa"/>
            <w:shd w:val="clear" w:color="auto" w:fill="auto"/>
            <w:noWrap/>
          </w:tcPr>
          <w:p w14:paraId="71491308" w14:textId="694F97BE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1B6C00B6" w14:textId="2471B6EB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196401B0" w14:textId="5099CD24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CA17FED" w14:textId="375FCA6D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38CBADC" w14:textId="70E58419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813522" w14:paraId="45D5E1A8" w14:textId="6A32626F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2003FC96" w14:textId="2596E81A" w:rsidR="00E25C4F" w:rsidRPr="00813522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3969" w:type="dxa"/>
            <w:shd w:val="clear" w:color="auto" w:fill="auto"/>
            <w:noWrap/>
          </w:tcPr>
          <w:p w14:paraId="53FDD158" w14:textId="756D4B93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shd w:val="clear" w:color="auto" w:fill="auto"/>
            <w:noWrap/>
          </w:tcPr>
          <w:p w14:paraId="4B55086A" w14:textId="3F8E9416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$275,000</w:t>
            </w:r>
          </w:p>
        </w:tc>
        <w:tc>
          <w:tcPr>
            <w:tcW w:w="1375" w:type="dxa"/>
            <w:shd w:val="clear" w:color="auto" w:fill="auto"/>
            <w:noWrap/>
          </w:tcPr>
          <w:p w14:paraId="1830B67B" w14:textId="374C7DD6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1FD55CB6" w14:textId="3983156F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752654B" w14:textId="30099E61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F04CA69" w14:textId="7C0DCD45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29F72467" w14:textId="3888CEB2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813522" w14:paraId="5D1E6779" w14:textId="21D3FA1D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17A2B687" w14:textId="2A07BEFC" w:rsidR="00E25C4F" w:rsidRPr="00813522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Sunshine Coast</w:t>
            </w:r>
          </w:p>
        </w:tc>
        <w:tc>
          <w:tcPr>
            <w:tcW w:w="3969" w:type="dxa"/>
            <w:shd w:val="clear" w:color="auto" w:fill="auto"/>
            <w:noWrap/>
          </w:tcPr>
          <w:p w14:paraId="5841174F" w14:textId="7F9576D1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shd w:val="clear" w:color="auto" w:fill="auto"/>
            <w:noWrap/>
          </w:tcPr>
          <w:p w14:paraId="5428095D" w14:textId="5BD3F4B2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$121,000</w:t>
            </w:r>
          </w:p>
        </w:tc>
        <w:tc>
          <w:tcPr>
            <w:tcW w:w="1375" w:type="dxa"/>
            <w:shd w:val="clear" w:color="auto" w:fill="auto"/>
            <w:noWrap/>
          </w:tcPr>
          <w:p w14:paraId="1EFC228F" w14:textId="4A3DBA5B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49C67F65" w14:textId="705B31E2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5F122F6A" w14:textId="725ECF80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57B1DAA9" w14:textId="3A4B563D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C2EEFB2" w14:textId="77383BFF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747CD1" w14:paraId="5E9D4C0A" w14:textId="29CDD5F2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3AFF5454" w14:textId="740910F3" w:rsidR="00E25C4F" w:rsidRPr="00813522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University of New England</w:t>
            </w:r>
          </w:p>
        </w:tc>
        <w:tc>
          <w:tcPr>
            <w:tcW w:w="3969" w:type="dxa"/>
            <w:shd w:val="clear" w:color="auto" w:fill="auto"/>
            <w:noWrap/>
          </w:tcPr>
          <w:p w14:paraId="7052FA32" w14:textId="1C7EB75C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shd w:val="clear" w:color="auto" w:fill="auto"/>
            <w:noWrap/>
          </w:tcPr>
          <w:p w14:paraId="3A554EA5" w14:textId="6D5F2F4C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$330,000</w:t>
            </w:r>
          </w:p>
        </w:tc>
        <w:tc>
          <w:tcPr>
            <w:tcW w:w="1375" w:type="dxa"/>
            <w:shd w:val="clear" w:color="auto" w:fill="auto"/>
            <w:noWrap/>
          </w:tcPr>
          <w:p w14:paraId="75B6DACB" w14:textId="0C6DE46A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02F48933" w14:textId="759591FA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A4008EB" w14:textId="43629DAC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5A323B3" w14:textId="3947A906" w:rsidR="00E25C4F" w:rsidRPr="00813522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58957D7A" w14:textId="0D2C2758" w:rsidR="00E25C4F" w:rsidRPr="006D67A9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747CD1" w14:paraId="12126F56" w14:textId="79FBA5FB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537AF672" w14:textId="73F8D721" w:rsidR="00E25C4F" w:rsidRPr="006D67A9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969" w:type="dxa"/>
            <w:shd w:val="clear" w:color="auto" w:fill="auto"/>
            <w:noWrap/>
          </w:tcPr>
          <w:p w14:paraId="2F4D52F3" w14:textId="58D49875" w:rsidR="00E25C4F" w:rsidRPr="00E25C4F" w:rsidRDefault="00E25C4F" w:rsidP="00E25C4F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shd w:val="clear" w:color="auto" w:fill="auto"/>
            <w:noWrap/>
          </w:tcPr>
          <w:p w14:paraId="4473FE75" w14:textId="77A66041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$220,000</w:t>
            </w:r>
          </w:p>
        </w:tc>
        <w:tc>
          <w:tcPr>
            <w:tcW w:w="1375" w:type="dxa"/>
            <w:shd w:val="clear" w:color="auto" w:fill="auto"/>
            <w:noWrap/>
          </w:tcPr>
          <w:p w14:paraId="30F5A19A" w14:textId="4A0A385A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5A455547" w14:textId="060E0CCC" w:rsidR="00E25C4F" w:rsidRPr="00E25C4F" w:rsidRDefault="00E25C4F" w:rsidP="00E25C4F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30E577CF" w14:textId="71EE1E7A" w:rsidR="00E25C4F" w:rsidRPr="00E25C4F" w:rsidRDefault="00E25C4F" w:rsidP="00E25C4F">
            <w:pPr>
              <w:jc w:val="center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E25C4F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6E321311" w14:textId="57142169" w:rsidR="00E25C4F" w:rsidRPr="006D67A9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461B8745" w14:textId="3A5292FC" w:rsidR="00E25C4F" w:rsidRPr="006D67A9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E25C4F" w:rsidRPr="00747CD1" w14:paraId="66CDC07D" w14:textId="292129ED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6845E8F7" w14:textId="4C841497" w:rsidR="00E25C4F" w:rsidRPr="006D67A9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969" w:type="dxa"/>
            <w:shd w:val="clear" w:color="auto" w:fill="auto"/>
            <w:noWrap/>
          </w:tcPr>
          <w:p w14:paraId="5D074ACF" w14:textId="140C458C" w:rsidR="00E25C4F" w:rsidRPr="006D67A9" w:rsidRDefault="00E25C4F" w:rsidP="00E25C4F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B2667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John Allwright Fellowship Program 2022–23</w:t>
            </w:r>
          </w:p>
        </w:tc>
        <w:tc>
          <w:tcPr>
            <w:tcW w:w="1496" w:type="dxa"/>
            <w:shd w:val="clear" w:color="auto" w:fill="auto"/>
            <w:noWrap/>
          </w:tcPr>
          <w:p w14:paraId="7BCDC36F" w14:textId="44C7A250" w:rsidR="00E25C4F" w:rsidRPr="006D67A9" w:rsidRDefault="00E25C4F" w:rsidP="00E25C4F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110,</w:t>
            </w:r>
            <w:r w:rsidRPr="000B4FA9">
              <w:rPr>
                <w:rFonts w:eastAsia="Times New Roman" w:cs="Calibri"/>
                <w:sz w:val="20"/>
                <w:szCs w:val="20"/>
                <w:lang w:eastAsia="en-AU"/>
              </w:rPr>
              <w:t>000</w:t>
            </w:r>
          </w:p>
        </w:tc>
        <w:tc>
          <w:tcPr>
            <w:tcW w:w="1375" w:type="dxa"/>
            <w:shd w:val="clear" w:color="auto" w:fill="auto"/>
            <w:noWrap/>
          </w:tcPr>
          <w:p w14:paraId="1FCF6A2B" w14:textId="7EBA48B4" w:rsidR="00E25C4F" w:rsidRPr="006D67A9" w:rsidRDefault="00E25C4F" w:rsidP="00E25C4F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23-Sep-22</w:t>
            </w:r>
          </w:p>
        </w:tc>
        <w:tc>
          <w:tcPr>
            <w:tcW w:w="1417" w:type="dxa"/>
            <w:shd w:val="clear" w:color="auto" w:fill="auto"/>
            <w:noWrap/>
          </w:tcPr>
          <w:p w14:paraId="7328BC60" w14:textId="50CE77EA" w:rsidR="00E25C4F" w:rsidRPr="006D67A9" w:rsidRDefault="00E25C4F" w:rsidP="00E25C4F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7CCF9706" w14:textId="0CDD9F39" w:rsidR="00E25C4F" w:rsidRPr="006D67A9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42E1AD9A" w14:textId="2D3200BC" w:rsidR="00E25C4F" w:rsidRPr="006D67A9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85223FD" w14:textId="7252FA85" w:rsidR="00E25C4F" w:rsidRPr="006D67A9" w:rsidRDefault="00E25C4F" w:rsidP="00E25C4F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6D67A9" w:rsidRPr="00747CD1" w14:paraId="6781E229" w14:textId="53910555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56D2D8F1" w14:textId="06B91A2A" w:rsidR="006D67A9" w:rsidRPr="006D67A9" w:rsidRDefault="003476D8" w:rsidP="006D67A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The </w:t>
            </w:r>
            <w:r w:rsidR="006D67A9" w:rsidRPr="006D67A9">
              <w:rPr>
                <w:rFonts w:eastAsia="Times New Roman" w:cs="Calibri"/>
                <w:sz w:val="20"/>
                <w:szCs w:val="20"/>
                <w:lang w:eastAsia="en-AU"/>
              </w:rPr>
              <w:t>Crawford Fund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3969" w:type="dxa"/>
            <w:shd w:val="clear" w:color="auto" w:fill="auto"/>
            <w:noWrap/>
          </w:tcPr>
          <w:p w14:paraId="71D98B1C" w14:textId="341CE971" w:rsidR="006D67A9" w:rsidRPr="00A92B4C" w:rsidRDefault="006D67A9" w:rsidP="006D67A9">
            <w:pP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A92B4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Memorandum of Understanding with the Crawford Fund 2021–2023</w:t>
            </w:r>
          </w:p>
        </w:tc>
        <w:tc>
          <w:tcPr>
            <w:tcW w:w="1496" w:type="dxa"/>
            <w:shd w:val="clear" w:color="auto" w:fill="auto"/>
            <w:noWrap/>
          </w:tcPr>
          <w:p w14:paraId="41BAB126" w14:textId="39AAA4EA" w:rsidR="006D67A9" w:rsidRPr="00A92B4C" w:rsidRDefault="00E25C4F" w:rsidP="006D67A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7F4298" w:rsidRPr="00A92B4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2,120</w:t>
            </w:r>
            <w:r w:rsidR="006D67A9" w:rsidRPr="00A92B4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,000</w:t>
            </w:r>
          </w:p>
        </w:tc>
        <w:tc>
          <w:tcPr>
            <w:tcW w:w="1375" w:type="dxa"/>
            <w:shd w:val="clear" w:color="auto" w:fill="auto"/>
            <w:noWrap/>
          </w:tcPr>
          <w:p w14:paraId="322AE1F0" w14:textId="46EAB79A" w:rsidR="006D67A9" w:rsidRPr="00A92B4C" w:rsidRDefault="006D67A9" w:rsidP="006D67A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A92B4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1417" w:type="dxa"/>
            <w:shd w:val="clear" w:color="auto" w:fill="auto"/>
            <w:noWrap/>
          </w:tcPr>
          <w:p w14:paraId="322A7394" w14:textId="50603BCB" w:rsidR="006D67A9" w:rsidRPr="00A92B4C" w:rsidRDefault="006D67A9" w:rsidP="006D67A9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</w:pPr>
            <w:r w:rsidRPr="00A92B4C"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1843" w:type="dxa"/>
            <w:shd w:val="clear" w:color="auto" w:fill="auto"/>
            <w:noWrap/>
          </w:tcPr>
          <w:p w14:paraId="21A0C1DE" w14:textId="7461B26E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2F3A37F8" w14:textId="63071860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7D8665B1" w14:textId="223F02CD" w:rsidR="006D67A9" w:rsidRPr="006D67A9" w:rsidRDefault="006D67A9" w:rsidP="006D67A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6D67A9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  <w:tr w:rsidR="00D03049" w:rsidRPr="00747CD1" w14:paraId="46B4BB95" w14:textId="77777777" w:rsidTr="00E25C4F">
        <w:trPr>
          <w:trHeight w:val="290"/>
        </w:trPr>
        <w:tc>
          <w:tcPr>
            <w:tcW w:w="3823" w:type="dxa"/>
            <w:shd w:val="clear" w:color="auto" w:fill="auto"/>
            <w:noWrap/>
          </w:tcPr>
          <w:p w14:paraId="59DEE646" w14:textId="7D0E7793" w:rsidR="00D03049" w:rsidRPr="00813522" w:rsidRDefault="00D03049" w:rsidP="00D0304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Pacific Community</w:t>
            </w:r>
          </w:p>
        </w:tc>
        <w:tc>
          <w:tcPr>
            <w:tcW w:w="3969" w:type="dxa"/>
            <w:shd w:val="clear" w:color="auto" w:fill="auto"/>
            <w:noWrap/>
          </w:tcPr>
          <w:p w14:paraId="5734F77A" w14:textId="3CD0A1B9" w:rsidR="00D03049" w:rsidRPr="00813522" w:rsidRDefault="00D03049" w:rsidP="00D03049">
            <w:pPr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SPC Partnership Arrangement</w:t>
            </w:r>
          </w:p>
        </w:tc>
        <w:tc>
          <w:tcPr>
            <w:tcW w:w="1496" w:type="dxa"/>
            <w:shd w:val="clear" w:color="auto" w:fill="auto"/>
            <w:noWrap/>
          </w:tcPr>
          <w:p w14:paraId="2606DA50" w14:textId="62857448" w:rsidR="00D03049" w:rsidRPr="00813522" w:rsidRDefault="00E25C4F" w:rsidP="00D0304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>
              <w:rPr>
                <w:rFonts w:eastAsia="Times New Roman" w:cs="Calibri"/>
                <w:color w:val="000000" w:themeColor="text1"/>
                <w:sz w:val="20"/>
                <w:szCs w:val="20"/>
                <w:lang w:eastAsia="en-AU"/>
              </w:rPr>
              <w:t>$</w:t>
            </w:r>
            <w:r w:rsidR="00D03049" w:rsidRPr="00813522">
              <w:rPr>
                <w:rFonts w:eastAsia="Times New Roman" w:cs="Calibri"/>
                <w:sz w:val="20"/>
                <w:szCs w:val="20"/>
                <w:lang w:eastAsia="en-AU"/>
              </w:rPr>
              <w:t>2,135,000</w:t>
            </w:r>
          </w:p>
        </w:tc>
        <w:tc>
          <w:tcPr>
            <w:tcW w:w="1375" w:type="dxa"/>
            <w:shd w:val="clear" w:color="auto" w:fill="auto"/>
            <w:noWrap/>
          </w:tcPr>
          <w:p w14:paraId="6FF2047A" w14:textId="722DDF5E" w:rsidR="00D03049" w:rsidRPr="00813522" w:rsidRDefault="00D03049" w:rsidP="00D0304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1-Jan-22</w:t>
            </w:r>
          </w:p>
        </w:tc>
        <w:tc>
          <w:tcPr>
            <w:tcW w:w="1417" w:type="dxa"/>
            <w:shd w:val="clear" w:color="auto" w:fill="auto"/>
            <w:noWrap/>
          </w:tcPr>
          <w:p w14:paraId="32A2BF39" w14:textId="02ED1E2C" w:rsidR="00D03049" w:rsidRPr="00813522" w:rsidRDefault="00D03049" w:rsidP="00D03049">
            <w:pPr>
              <w:jc w:val="right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31-Dec-26</w:t>
            </w:r>
          </w:p>
        </w:tc>
        <w:tc>
          <w:tcPr>
            <w:tcW w:w="1843" w:type="dxa"/>
            <w:shd w:val="clear" w:color="auto" w:fill="auto"/>
            <w:noWrap/>
          </w:tcPr>
          <w:p w14:paraId="288EADC6" w14:textId="6B512707" w:rsidR="00D03049" w:rsidRPr="00813522" w:rsidRDefault="00D03049" w:rsidP="00D0304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322" w:type="dxa"/>
            <w:shd w:val="clear" w:color="auto" w:fill="auto"/>
            <w:noWrap/>
          </w:tcPr>
          <w:p w14:paraId="04AD4406" w14:textId="23532697" w:rsidR="00D03049" w:rsidRPr="00813522" w:rsidRDefault="00D03049" w:rsidP="00D0304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797" w:type="dxa"/>
          </w:tcPr>
          <w:p w14:paraId="06174B69" w14:textId="47FC29D3" w:rsidR="00D03049" w:rsidRPr="00813522" w:rsidRDefault="00D03049" w:rsidP="00D03049">
            <w:pPr>
              <w:jc w:val="center"/>
              <w:rPr>
                <w:rFonts w:eastAsia="Times New Roman" w:cs="Calibri"/>
                <w:sz w:val="20"/>
                <w:szCs w:val="20"/>
                <w:lang w:eastAsia="en-AU"/>
              </w:rPr>
            </w:pPr>
            <w:r w:rsidRPr="00813522">
              <w:rPr>
                <w:rFonts w:eastAsia="Times New Roman" w:cs="Calibri"/>
                <w:sz w:val="20"/>
                <w:szCs w:val="20"/>
                <w:lang w:eastAsia="en-AU"/>
              </w:rPr>
              <w:t>N/A</w:t>
            </w:r>
          </w:p>
        </w:tc>
      </w:tr>
    </w:tbl>
    <w:p w14:paraId="681B4D23" w14:textId="77777777" w:rsidR="00EF7C38" w:rsidRDefault="00EF7C38">
      <w:pPr>
        <w:rPr>
          <w:sz w:val="20"/>
        </w:rPr>
      </w:pPr>
    </w:p>
    <w:p w14:paraId="69F5D1CF" w14:textId="1168B2C5" w:rsidR="00EF7C38" w:rsidRPr="00E62F9E" w:rsidRDefault="00DF3B80" w:rsidP="00E62F9E">
      <w:pPr>
        <w:ind w:left="284" w:right="7601"/>
      </w:pPr>
      <w:r w:rsidRPr="00E62F9E">
        <w:lastRenderedPageBreak/>
        <w:t>*</w:t>
      </w:r>
      <w:r w:rsidR="00EB3FAF" w:rsidRPr="00E62F9E">
        <w:t xml:space="preserve">Pursuant to the Senate Order on non‐corporate Commonwealth entity contracts the following table sets out contracts </w:t>
      </w:r>
      <w:proofErr w:type="gramStart"/>
      <w:r w:rsidR="00EB3FAF" w:rsidRPr="00E62F9E">
        <w:t>entered into</w:t>
      </w:r>
      <w:proofErr w:type="gramEnd"/>
      <w:r w:rsidR="00EB3FAF" w:rsidRPr="00E62F9E">
        <w:t xml:space="preserve"> by the Australian Centre for International Agricultural Research which provide for a consideration to the value of $100,000 or more (GST inclusive) and</w:t>
      </w:r>
      <w:r w:rsidR="00EF7C38" w:rsidRPr="00E62F9E">
        <w:t>:</w:t>
      </w:r>
    </w:p>
    <w:p w14:paraId="676D2511" w14:textId="77777777" w:rsidR="00EF7C38" w:rsidRPr="00E62F9E" w:rsidRDefault="00EF7C38" w:rsidP="00E62F9E">
      <w:pPr>
        <w:ind w:left="644" w:right="7601"/>
      </w:pPr>
    </w:p>
    <w:p w14:paraId="60520E79" w14:textId="4128A322" w:rsidR="00EF7C38" w:rsidRPr="00E62F9E" w:rsidRDefault="00EB3FAF" w:rsidP="00E62F9E">
      <w:pPr>
        <w:pStyle w:val="ListParagraph"/>
        <w:numPr>
          <w:ilvl w:val="0"/>
          <w:numId w:val="1"/>
        </w:numPr>
        <w:ind w:left="1004" w:right="7601"/>
      </w:pPr>
      <w:r w:rsidRPr="00E62F9E">
        <w:t>which</w:t>
      </w:r>
      <w:r w:rsidR="00EF7C38" w:rsidRPr="00E62F9E">
        <w:t xml:space="preserve"> </w:t>
      </w:r>
      <w:r w:rsidRPr="00E62F9E">
        <w:t xml:space="preserve">have not been fully performed as </w:t>
      </w:r>
      <w:proofErr w:type="gramStart"/>
      <w:r w:rsidRPr="00E62F9E">
        <w:t>at</w:t>
      </w:r>
      <w:proofErr w:type="gramEnd"/>
      <w:r w:rsidRPr="00E62F9E">
        <w:t xml:space="preserve"> </w:t>
      </w:r>
      <w:r w:rsidR="00EC7D29" w:rsidRPr="00E62F9E">
        <w:t>31 December</w:t>
      </w:r>
      <w:r w:rsidRPr="00E62F9E">
        <w:t xml:space="preserve"> 202</w:t>
      </w:r>
      <w:r w:rsidR="0007364C" w:rsidRPr="00E62F9E">
        <w:t>2</w:t>
      </w:r>
      <w:r w:rsidR="00EF7C38" w:rsidRPr="00E62F9E">
        <w:t>;</w:t>
      </w:r>
      <w:r w:rsidRPr="00E62F9E">
        <w:t xml:space="preserve"> or</w:t>
      </w:r>
      <w:r w:rsidR="00EF7C38" w:rsidRPr="00E62F9E">
        <w:t xml:space="preserve"> </w:t>
      </w:r>
    </w:p>
    <w:p w14:paraId="02759D2D" w14:textId="790BC130" w:rsidR="00EF7C38" w:rsidRPr="00E62F9E" w:rsidRDefault="00EB3FAF" w:rsidP="00E62F9E">
      <w:pPr>
        <w:pStyle w:val="ListParagraph"/>
        <w:numPr>
          <w:ilvl w:val="0"/>
          <w:numId w:val="1"/>
        </w:numPr>
        <w:ind w:left="1004" w:right="7601"/>
      </w:pPr>
      <w:r w:rsidRPr="00E62F9E">
        <w:t xml:space="preserve">which have been entered into during the 12 months prior to </w:t>
      </w:r>
      <w:r w:rsidR="00EC7D29" w:rsidRPr="00E62F9E">
        <w:t>31 December</w:t>
      </w:r>
      <w:r w:rsidRPr="00E62F9E">
        <w:t xml:space="preserve"> 202</w:t>
      </w:r>
      <w:r w:rsidR="0007364C" w:rsidRPr="00E62F9E">
        <w:t>2</w:t>
      </w:r>
      <w:r w:rsidRPr="00E62F9E">
        <w:t>.</w:t>
      </w:r>
      <w:r w:rsidR="00EF7C38" w:rsidRPr="00E62F9E">
        <w:t xml:space="preserve"> </w:t>
      </w:r>
    </w:p>
    <w:p w14:paraId="3780A224" w14:textId="77777777" w:rsidR="00EF7C38" w:rsidRPr="00E62F9E" w:rsidRDefault="00EF7C38" w:rsidP="00E62F9E">
      <w:pPr>
        <w:ind w:left="284" w:right="7601"/>
      </w:pPr>
    </w:p>
    <w:p w14:paraId="72C2107C" w14:textId="128D93D6" w:rsidR="00DF3B80" w:rsidRPr="00E62F9E" w:rsidRDefault="00DF3B80" w:rsidP="00E62F9E">
      <w:pPr>
        <w:ind w:left="284" w:right="7601"/>
      </w:pPr>
      <w:r w:rsidRPr="00E62F9E">
        <w:t>The listing</w:t>
      </w:r>
      <w:r w:rsidR="0013051A" w:rsidRPr="00E62F9E">
        <w:t xml:space="preserve"> above </w:t>
      </w:r>
      <w:r w:rsidRPr="00E62F9E">
        <w:t>is in accordance with Department of Finance requirements</w:t>
      </w:r>
      <w:r w:rsidR="00E153C9" w:rsidRPr="00E62F9E">
        <w:t xml:space="preserve"> (Meeting the Senate Order for Entity Contracts (RMG 403)</w:t>
      </w:r>
      <w:r w:rsidR="00E67821" w:rsidRPr="00E62F9E">
        <w:t>)</w:t>
      </w:r>
      <w:r w:rsidRPr="00E62F9E">
        <w:t>.</w:t>
      </w:r>
      <w:r w:rsidR="0013051A" w:rsidRPr="00E62F9E">
        <w:t xml:space="preserve"> </w:t>
      </w:r>
      <w:r w:rsidR="005A161A" w:rsidRPr="00E62F9E">
        <w:t>Procurement contracts are available through the Senate Order Report located on the AusTender Homepage (</w:t>
      </w:r>
      <w:hyperlink r:id="rId12" w:history="1">
        <w:r w:rsidR="005A161A" w:rsidRPr="00E62F9E">
          <w:rPr>
            <w:rStyle w:val="Hyperlink"/>
          </w:rPr>
          <w:t>www.tenders.gov.au</w:t>
        </w:r>
      </w:hyperlink>
      <w:r w:rsidR="005A161A" w:rsidRPr="00E62F9E">
        <w:t xml:space="preserve">). </w:t>
      </w:r>
      <w:r w:rsidR="0013051A" w:rsidRPr="00E62F9E">
        <w:t xml:space="preserve">For more information on ACIAR contracts please contact </w:t>
      </w:r>
      <w:hyperlink r:id="rId13" w:history="1">
        <w:r w:rsidR="0013051A" w:rsidRPr="00E62F9E">
          <w:rPr>
            <w:rStyle w:val="Hyperlink"/>
          </w:rPr>
          <w:t>aciar@aciar.gov.au</w:t>
        </w:r>
      </w:hyperlink>
      <w:r w:rsidR="0013051A" w:rsidRPr="00E62F9E">
        <w:t xml:space="preserve"> </w:t>
      </w:r>
    </w:p>
    <w:sectPr w:rsidR="00DF3B80" w:rsidRPr="00E62F9E" w:rsidSect="007B05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862" w:right="1440" w:bottom="851" w:left="426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8CF9" w14:textId="77777777" w:rsidR="00380539" w:rsidRDefault="00380539" w:rsidP="00DF3B80">
      <w:r>
        <w:separator/>
      </w:r>
    </w:p>
  </w:endnote>
  <w:endnote w:type="continuationSeparator" w:id="0">
    <w:p w14:paraId="2AAD53F4" w14:textId="77777777" w:rsidR="00380539" w:rsidRDefault="00380539" w:rsidP="00D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42D6" w14:textId="77777777" w:rsidR="00757B48" w:rsidRDefault="00757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76B4" w14:textId="496F728D" w:rsidR="00747CD1" w:rsidRPr="00DF3B80" w:rsidRDefault="00747CD1" w:rsidP="00E25C4F">
    <w:pPr>
      <w:pStyle w:val="Header"/>
      <w:pBdr>
        <w:top w:val="single" w:sz="4" w:space="1" w:color="auto"/>
      </w:pBdr>
      <w:tabs>
        <w:tab w:val="clear" w:pos="9026"/>
        <w:tab w:val="right" w:pos="16018"/>
      </w:tabs>
      <w:ind w:right="-1046"/>
      <w:rPr>
        <w:i/>
        <w:iCs/>
        <w:color w:val="525252"/>
      </w:rPr>
    </w:pPr>
    <w:r>
      <w:rPr>
        <w:rStyle w:val="SubtleEmphasis"/>
        <w:color w:val="525252"/>
      </w:rPr>
      <w:t xml:space="preserve">Reported on </w:t>
    </w:r>
    <w:r w:rsidR="00757B48">
      <w:rPr>
        <w:rStyle w:val="SubtleEmphasis"/>
        <w:color w:val="525252"/>
      </w:rPr>
      <w:t>6</w:t>
    </w:r>
    <w:r w:rsidR="008B22DB">
      <w:rPr>
        <w:rStyle w:val="SubtleEmphasis"/>
        <w:color w:val="525252"/>
      </w:rPr>
      <w:t xml:space="preserve"> February</w:t>
    </w:r>
    <w:r>
      <w:rPr>
        <w:rStyle w:val="SubtleEmphasis"/>
        <w:color w:val="525252"/>
      </w:rPr>
      <w:t xml:space="preserve"> 202</w:t>
    </w:r>
    <w:r w:rsidR="00615384">
      <w:rPr>
        <w:rStyle w:val="SubtleEmphasis"/>
        <w:color w:val="525252"/>
      </w:rPr>
      <w:t>3</w:t>
    </w:r>
    <w:r w:rsidRPr="00DF3B80">
      <w:rPr>
        <w:rStyle w:val="SubtleEmphasis"/>
        <w:color w:val="525252"/>
      </w:rPr>
      <w:tab/>
    </w:r>
    <w:r w:rsidRPr="00DF3B80">
      <w:rPr>
        <w:rStyle w:val="SubtleEmphasis"/>
        <w:color w:val="525252"/>
      </w:rPr>
      <w:tab/>
    </w:r>
    <w:r w:rsidRPr="00DF3B80">
      <w:rPr>
        <w:color w:val="525252"/>
      </w:rPr>
      <w:t xml:space="preserve">Page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PAGE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1</w:t>
    </w:r>
    <w:r w:rsidRPr="00DF3B80">
      <w:rPr>
        <w:color w:val="525252"/>
        <w:sz w:val="24"/>
        <w:szCs w:val="24"/>
      </w:rPr>
      <w:fldChar w:fldCharType="end"/>
    </w:r>
    <w:r w:rsidRPr="00DF3B80">
      <w:rPr>
        <w:color w:val="525252"/>
      </w:rPr>
      <w:t xml:space="preserve"> of </w:t>
    </w:r>
    <w:r w:rsidRPr="00DF3B80">
      <w:rPr>
        <w:color w:val="525252"/>
        <w:sz w:val="24"/>
        <w:szCs w:val="24"/>
      </w:rPr>
      <w:fldChar w:fldCharType="begin"/>
    </w:r>
    <w:r w:rsidRPr="00DF3B80">
      <w:rPr>
        <w:color w:val="525252"/>
      </w:rPr>
      <w:instrText xml:space="preserve"> NUMPAGES  </w:instrText>
    </w:r>
    <w:r w:rsidRPr="00DF3B80">
      <w:rPr>
        <w:color w:val="525252"/>
        <w:sz w:val="24"/>
        <w:szCs w:val="24"/>
      </w:rPr>
      <w:fldChar w:fldCharType="separate"/>
    </w:r>
    <w:r w:rsidRPr="00DF3B80">
      <w:rPr>
        <w:color w:val="525252"/>
        <w:sz w:val="24"/>
        <w:szCs w:val="24"/>
      </w:rPr>
      <w:t>2</w:t>
    </w:r>
    <w:r w:rsidRPr="00DF3B80">
      <w:rPr>
        <w:color w:val="525252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825A" w14:textId="77777777" w:rsidR="00757B48" w:rsidRDefault="00757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3123" w14:textId="77777777" w:rsidR="00380539" w:rsidRDefault="00380539" w:rsidP="00DF3B80">
      <w:r>
        <w:separator/>
      </w:r>
    </w:p>
  </w:footnote>
  <w:footnote w:type="continuationSeparator" w:id="0">
    <w:p w14:paraId="131A07FD" w14:textId="77777777" w:rsidR="00380539" w:rsidRDefault="00380539" w:rsidP="00D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C53" w14:textId="77777777" w:rsidR="00757B48" w:rsidRDefault="00757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7794" w14:textId="0E07C491" w:rsidR="00747CD1" w:rsidRDefault="00747CD1" w:rsidP="00C56D61">
    <w:pPr>
      <w:tabs>
        <w:tab w:val="left" w:pos="2300"/>
        <w:tab w:val="right" w:pos="9072"/>
      </w:tabs>
      <w:ind w:left="142" w:right="-23"/>
    </w:pPr>
    <w:r>
      <w:rPr>
        <w:noProof/>
      </w:rPr>
      <w:drawing>
        <wp:inline distT="0" distB="0" distL="0" distR="0" wp14:anchorId="14DC9E09" wp14:editId="0FC2C118">
          <wp:extent cx="2698115" cy="664845"/>
          <wp:effectExtent l="0" t="0" r="6985" b="1905"/>
          <wp:docPr id="4" name="Picture 4" descr="Australian Centre for International Agricultural 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Centre for International Agricultural 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037C0" w14:textId="6E0BE04F" w:rsidR="00747CD1" w:rsidRPr="002E5666" w:rsidRDefault="00716C20" w:rsidP="00B04ADC">
    <w:pPr>
      <w:pBdr>
        <w:bottom w:val="single" w:sz="4" w:space="1" w:color="385623"/>
      </w:pBdr>
      <w:tabs>
        <w:tab w:val="left" w:pos="2300"/>
        <w:tab w:val="right" w:pos="9072"/>
      </w:tabs>
      <w:ind w:left="142" w:right="-479"/>
      <w:jc w:val="right"/>
      <w:rPr>
        <w:b/>
        <w:i/>
        <w:color w:val="385623"/>
      </w:rPr>
    </w:pPr>
    <w:r w:rsidRPr="00716C20">
      <w:rPr>
        <w:b/>
        <w:i/>
        <w:color w:val="385623"/>
      </w:rPr>
      <w:t>Senate Order on Departmental and Agency contracts</w:t>
    </w:r>
  </w:p>
  <w:p w14:paraId="0707C78D" w14:textId="77777777" w:rsidR="00747CD1" w:rsidRDefault="00747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94FE" w14:textId="77777777" w:rsidR="00757B48" w:rsidRDefault="00757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7972"/>
    <w:multiLevelType w:val="hybridMultilevel"/>
    <w:tmpl w:val="D61EDC02"/>
    <w:lvl w:ilvl="0" w:tplc="0C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sTQyNDAxNDQzMjBS0lEKTi0uzszPAykwqgUA0Hl47CwAAAA="/>
  </w:docVars>
  <w:rsids>
    <w:rsidRoot w:val="00B644F5"/>
    <w:rsid w:val="00002006"/>
    <w:rsid w:val="0000657A"/>
    <w:rsid w:val="00035A85"/>
    <w:rsid w:val="00065F60"/>
    <w:rsid w:val="00072B08"/>
    <w:rsid w:val="0007364C"/>
    <w:rsid w:val="00084720"/>
    <w:rsid w:val="000864B8"/>
    <w:rsid w:val="0008764E"/>
    <w:rsid w:val="00087C84"/>
    <w:rsid w:val="000A05B7"/>
    <w:rsid w:val="000A4E78"/>
    <w:rsid w:val="000B4FA9"/>
    <w:rsid w:val="000B7D4F"/>
    <w:rsid w:val="000E541B"/>
    <w:rsid w:val="000F3232"/>
    <w:rsid w:val="00110AA2"/>
    <w:rsid w:val="001114A3"/>
    <w:rsid w:val="00123656"/>
    <w:rsid w:val="0013051A"/>
    <w:rsid w:val="0014102C"/>
    <w:rsid w:val="00154AAA"/>
    <w:rsid w:val="001719C2"/>
    <w:rsid w:val="00180979"/>
    <w:rsid w:val="001912C1"/>
    <w:rsid w:val="00193F64"/>
    <w:rsid w:val="001A061C"/>
    <w:rsid w:val="001B0E7A"/>
    <w:rsid w:val="001C286F"/>
    <w:rsid w:val="001D2B6A"/>
    <w:rsid w:val="001F0793"/>
    <w:rsid w:val="001F104B"/>
    <w:rsid w:val="001F1FB8"/>
    <w:rsid w:val="00204FD0"/>
    <w:rsid w:val="002050D2"/>
    <w:rsid w:val="002134E9"/>
    <w:rsid w:val="00224EFA"/>
    <w:rsid w:val="00230081"/>
    <w:rsid w:val="00270E88"/>
    <w:rsid w:val="00293A0A"/>
    <w:rsid w:val="002B114F"/>
    <w:rsid w:val="002B1281"/>
    <w:rsid w:val="002E5666"/>
    <w:rsid w:val="003179FC"/>
    <w:rsid w:val="003476D8"/>
    <w:rsid w:val="0036123D"/>
    <w:rsid w:val="00380539"/>
    <w:rsid w:val="003864BD"/>
    <w:rsid w:val="00391103"/>
    <w:rsid w:val="003A0F15"/>
    <w:rsid w:val="003B7588"/>
    <w:rsid w:val="003C6675"/>
    <w:rsid w:val="003D59FE"/>
    <w:rsid w:val="00435FCE"/>
    <w:rsid w:val="00443B4D"/>
    <w:rsid w:val="00461D79"/>
    <w:rsid w:val="004928B0"/>
    <w:rsid w:val="004A3AB1"/>
    <w:rsid w:val="004A70A2"/>
    <w:rsid w:val="004E2C17"/>
    <w:rsid w:val="004F3052"/>
    <w:rsid w:val="00512B9D"/>
    <w:rsid w:val="005403D6"/>
    <w:rsid w:val="005436DA"/>
    <w:rsid w:val="00556E3B"/>
    <w:rsid w:val="005940F2"/>
    <w:rsid w:val="005A161A"/>
    <w:rsid w:val="005B4B1F"/>
    <w:rsid w:val="005C2C72"/>
    <w:rsid w:val="005C3622"/>
    <w:rsid w:val="005D7D6D"/>
    <w:rsid w:val="00615384"/>
    <w:rsid w:val="00615451"/>
    <w:rsid w:val="00617C34"/>
    <w:rsid w:val="00631E7F"/>
    <w:rsid w:val="006407E8"/>
    <w:rsid w:val="00642AC8"/>
    <w:rsid w:val="00670A02"/>
    <w:rsid w:val="00683BC8"/>
    <w:rsid w:val="00693F1C"/>
    <w:rsid w:val="006A0124"/>
    <w:rsid w:val="006B10F8"/>
    <w:rsid w:val="006C493D"/>
    <w:rsid w:val="006C7024"/>
    <w:rsid w:val="006D05E9"/>
    <w:rsid w:val="006D67A9"/>
    <w:rsid w:val="006E5494"/>
    <w:rsid w:val="006E5D45"/>
    <w:rsid w:val="007108B9"/>
    <w:rsid w:val="0071586D"/>
    <w:rsid w:val="00716C20"/>
    <w:rsid w:val="00716D46"/>
    <w:rsid w:val="0072483E"/>
    <w:rsid w:val="0074157F"/>
    <w:rsid w:val="007429F2"/>
    <w:rsid w:val="00747CD1"/>
    <w:rsid w:val="00757B48"/>
    <w:rsid w:val="007A3BC1"/>
    <w:rsid w:val="007B0526"/>
    <w:rsid w:val="007C29FA"/>
    <w:rsid w:val="007D1397"/>
    <w:rsid w:val="007D20FB"/>
    <w:rsid w:val="007D63D2"/>
    <w:rsid w:val="007F4298"/>
    <w:rsid w:val="00813522"/>
    <w:rsid w:val="00817B5B"/>
    <w:rsid w:val="00823BB6"/>
    <w:rsid w:val="00834BD6"/>
    <w:rsid w:val="00847C8D"/>
    <w:rsid w:val="00872D61"/>
    <w:rsid w:val="008B22DB"/>
    <w:rsid w:val="008B57BF"/>
    <w:rsid w:val="008C3727"/>
    <w:rsid w:val="008C79A2"/>
    <w:rsid w:val="008D4188"/>
    <w:rsid w:val="008D6E19"/>
    <w:rsid w:val="008F0B5F"/>
    <w:rsid w:val="00905074"/>
    <w:rsid w:val="009377F2"/>
    <w:rsid w:val="00940D64"/>
    <w:rsid w:val="0094449E"/>
    <w:rsid w:val="009813DC"/>
    <w:rsid w:val="009D3A23"/>
    <w:rsid w:val="009E79BA"/>
    <w:rsid w:val="009F41A2"/>
    <w:rsid w:val="00A24A4D"/>
    <w:rsid w:val="00A33025"/>
    <w:rsid w:val="00A442D6"/>
    <w:rsid w:val="00A6518C"/>
    <w:rsid w:val="00A7102E"/>
    <w:rsid w:val="00A71A57"/>
    <w:rsid w:val="00A81275"/>
    <w:rsid w:val="00A92B4C"/>
    <w:rsid w:val="00A97361"/>
    <w:rsid w:val="00AB1CB4"/>
    <w:rsid w:val="00AB2D1A"/>
    <w:rsid w:val="00AC6E06"/>
    <w:rsid w:val="00AD33E4"/>
    <w:rsid w:val="00AD6873"/>
    <w:rsid w:val="00AE0679"/>
    <w:rsid w:val="00AE4A19"/>
    <w:rsid w:val="00B04ADC"/>
    <w:rsid w:val="00B15AE7"/>
    <w:rsid w:val="00B205AF"/>
    <w:rsid w:val="00B27DEC"/>
    <w:rsid w:val="00B644F5"/>
    <w:rsid w:val="00B700A2"/>
    <w:rsid w:val="00B72613"/>
    <w:rsid w:val="00B7531F"/>
    <w:rsid w:val="00B80B30"/>
    <w:rsid w:val="00B823FE"/>
    <w:rsid w:val="00BA3255"/>
    <w:rsid w:val="00BB5D1F"/>
    <w:rsid w:val="00BC5736"/>
    <w:rsid w:val="00BC6FE3"/>
    <w:rsid w:val="00BE4BF1"/>
    <w:rsid w:val="00BE7DEB"/>
    <w:rsid w:val="00C13FF0"/>
    <w:rsid w:val="00C15B4F"/>
    <w:rsid w:val="00C248DC"/>
    <w:rsid w:val="00C43729"/>
    <w:rsid w:val="00C53213"/>
    <w:rsid w:val="00C56D61"/>
    <w:rsid w:val="00C85BC1"/>
    <w:rsid w:val="00C871B1"/>
    <w:rsid w:val="00C87BC4"/>
    <w:rsid w:val="00C91140"/>
    <w:rsid w:val="00D01D02"/>
    <w:rsid w:val="00D01E5C"/>
    <w:rsid w:val="00D03049"/>
    <w:rsid w:val="00D05EE9"/>
    <w:rsid w:val="00D15AE0"/>
    <w:rsid w:val="00D2093A"/>
    <w:rsid w:val="00D20E0C"/>
    <w:rsid w:val="00D24876"/>
    <w:rsid w:val="00D313E4"/>
    <w:rsid w:val="00D344E3"/>
    <w:rsid w:val="00D358AB"/>
    <w:rsid w:val="00D360A7"/>
    <w:rsid w:val="00D4000A"/>
    <w:rsid w:val="00D42457"/>
    <w:rsid w:val="00D4389D"/>
    <w:rsid w:val="00D47019"/>
    <w:rsid w:val="00D81E96"/>
    <w:rsid w:val="00D8206C"/>
    <w:rsid w:val="00D83FBA"/>
    <w:rsid w:val="00D92C6D"/>
    <w:rsid w:val="00DB6E7B"/>
    <w:rsid w:val="00DC41C3"/>
    <w:rsid w:val="00DF3B80"/>
    <w:rsid w:val="00DF6491"/>
    <w:rsid w:val="00E153C9"/>
    <w:rsid w:val="00E21988"/>
    <w:rsid w:val="00E25C4F"/>
    <w:rsid w:val="00E34B0E"/>
    <w:rsid w:val="00E51E92"/>
    <w:rsid w:val="00E57315"/>
    <w:rsid w:val="00E62F9E"/>
    <w:rsid w:val="00E67821"/>
    <w:rsid w:val="00E70263"/>
    <w:rsid w:val="00E87C81"/>
    <w:rsid w:val="00E90799"/>
    <w:rsid w:val="00EB3FAF"/>
    <w:rsid w:val="00EB4ED5"/>
    <w:rsid w:val="00EC72D8"/>
    <w:rsid w:val="00EC7D29"/>
    <w:rsid w:val="00ED6345"/>
    <w:rsid w:val="00EF7C38"/>
    <w:rsid w:val="00F3566B"/>
    <w:rsid w:val="00F4292C"/>
    <w:rsid w:val="00F443C9"/>
    <w:rsid w:val="00F51BA2"/>
    <w:rsid w:val="00F56EF5"/>
    <w:rsid w:val="00F91B20"/>
    <w:rsid w:val="00F9206C"/>
    <w:rsid w:val="00F9521D"/>
    <w:rsid w:val="00FA5F94"/>
    <w:rsid w:val="00FB549B"/>
    <w:rsid w:val="00FD0AD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67ED0"/>
  <w15:chartTrackingRefBased/>
  <w15:docId w15:val="{D770FF07-70DB-4E5B-90EB-ABE25A9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2D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DF3B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F3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3B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3B80"/>
    <w:rPr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DF3B80"/>
    <w:rPr>
      <w:i/>
      <w:iCs/>
      <w:color w:val="808080"/>
    </w:rPr>
  </w:style>
  <w:style w:type="character" w:styleId="Hyperlink">
    <w:name w:val="Hyperlink"/>
    <w:uiPriority w:val="99"/>
    <w:unhideWhenUsed/>
    <w:rsid w:val="0013051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iar@aciar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tenders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F54063087894D93707EDF864E95A6" ma:contentTypeVersion="986" ma:contentTypeDescription="Create a new document." ma:contentTypeScope="" ma:versionID="e82b663ee1aef60a79891fcf195a243a">
  <xsd:schema xmlns:xsd="http://www.w3.org/2001/XMLSchema" xmlns:xs="http://www.w3.org/2001/XMLSchema" xmlns:p="http://schemas.microsoft.com/office/2006/metadata/properties" xmlns:ns1="http://schemas.microsoft.com/sharepoint/v3" xmlns:ns2="7df02489-0e3c-4d49-bcef-9470ab7e2d2a" xmlns:ns3="95e1530c-83b7-4ad6-bc03-8729a55871fa" xmlns:ns4="http://schemas.microsoft.com/sharepoint.v3" targetNamespace="http://schemas.microsoft.com/office/2006/metadata/properties" ma:root="true" ma:fieldsID="a265e2894c93aaf77936e4af26d95c85" ns1:_="" ns2:_="" ns3:_="" ns4:_="">
    <xsd:import namespace="http://schemas.microsoft.com/sharepoint/v3"/>
    <xsd:import namespace="7df02489-0e3c-4d49-bcef-9470ab7e2d2a"/>
    <xsd:import namespace="95e1530c-83b7-4ad6-bc03-8729a55871fa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aciarSecurityClassification" minOccurs="0"/>
                <xsd:element ref="ns2:aciarDLM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Date_x0020_Submitted" minOccurs="0"/>
                <xsd:element ref="ns3:Document_x0020_Typ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2:CloseDate" minOccurs="0"/>
                <xsd:element ref="ns2:m2f2bcf22b6d4e67830ef03ffec6f8d8" minOccurs="0"/>
                <xsd:element ref="ns2:TaxCatchAll" minOccurs="0"/>
                <xsd:element ref="ns2:TaxCatchAllLabel" minOccurs="0"/>
                <xsd:element ref="ns3:lcf76f155ced4ddcb4097134ff3c332f" minOccurs="0"/>
                <xsd:element ref="ns1:RoutingRuleDescription" minOccurs="0"/>
                <xsd:element ref="ns4:CategoryDescription" minOccurs="0"/>
                <xsd:element ref="ns1:Kp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4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KpiDescription" ma:index="36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2489-0e3c-4d49-bcef-9470ab7e2d2a" elementFormDefault="qualified">
    <xsd:import namespace="http://schemas.microsoft.com/office/2006/documentManagement/types"/>
    <xsd:import namespace="http://schemas.microsoft.com/office/infopath/2007/PartnerControls"/>
    <xsd:element name="aciarSecurityClassification" ma:index="8" nillable="true" ma:displayName="Security Classification" ma:format="Dropdown" ma:internalName="aciarSecurityClassification" ma:readOnly="false">
      <xsd:simpleType>
        <xsd:restriction base="dms:Choice">
          <xsd:enumeration value="UNOFFICIAL"/>
          <xsd:enumeration value="OFFICIAL"/>
        </xsd:restriction>
      </xsd:simpleType>
    </xsd:element>
    <xsd:element name="aciarDLM" ma:index="9" nillable="true" ma:displayName="DLM" ma:format="Dropdown" ma:internalName="aciarDLM" ma:readOnly="false">
      <xsd:simpleType>
        <xsd:restriction base="dms:Choice">
          <xsd:enumeration value="Sensitive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loseDate" ma:index="27" nillable="true" ma:displayName="CloseDate" ma:default="" ma:description="Use to provide an end date for actvity with an ACIAR Container" ma:format="DateOnly" ma:internalName="CloseDate">
      <xsd:simpleType>
        <xsd:restriction base="dms:DateTime"/>
      </xsd:simpleType>
    </xsd:element>
    <xsd:element name="m2f2bcf22b6d4e67830ef03ffec6f8d8" ma:index="28" nillable="true" ma:taxonomy="true" ma:internalName="m2f2bcf22b6d4e67830ef03ffec6f8d8" ma:taxonomyFieldName="BCS_x0020_Term" ma:displayName="BCS Term" ma:readOnly="false" ma:default="" ma:fieldId="{62f2bcf2-2b6d-4e67-830e-f03ffec6f8d8}" ma:sspId="a37c8b22-aa99-4e8c-88cb-e0867fa8f189" ma:termSetId="6fe91149-1507-4ceb-844e-ca6e7c3135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d3fab4ea-32c5-4400-bdb9-c4de9a70ae7e}" ma:internalName="TaxCatchAll" ma:readOnly="false" ma:showField="CatchAllData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3fab4ea-32c5-4400-bdb9-c4de9a70ae7e}" ma:internalName="TaxCatchAllLabel" ma:readOnly="true" ma:showField="CatchAllDataLabel" ma:web="7df02489-0e3c-4d49-bcef-9470ab7e2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530c-83b7-4ad6-bc03-8729a5587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0_Submitted" ma:index="20" nillable="true" ma:displayName="Date Submitted" ma:format="DateOnly" ma:internalName="Date_x0020_Submitted">
      <xsd:simpleType>
        <xsd:restriction base="dms:DateTime"/>
      </xsd:simpleType>
    </xsd:element>
    <xsd:element name="Document_x0020_Type" ma:index="21" nillable="true" ma:displayName="Document Type" ma:format="Dropdown" ma:internalName="Document_x0020_Type">
      <xsd:simpleType>
        <xsd:restriction base="dms:Choice">
          <xsd:enumeration value="Briefing Paper"/>
          <xsd:enumeration value="Discussion Paper"/>
          <xsd:enumeration value="File Note"/>
          <xsd:enumeration value="Submission"/>
          <xsd:enumeration value="Memorandum"/>
          <xsd:enumeration value="Communique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37c8b22-aa99-4e8c-88cb-e0867fa8f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35" nillable="true" ma:displayName="Description" ma:hidden="true" ma:internalName="CategoryDescrip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iarSecurityClassification xmlns="7df02489-0e3c-4d49-bcef-9470ab7e2d2a" xsi:nil="true"/>
    <Document_x0020_Type xmlns="95e1530c-83b7-4ad6-bc03-8729a55871fa" xsi:nil="true"/>
    <KpiDescription xmlns="http://schemas.microsoft.com/sharepoint/v3" xsi:nil="true"/>
    <lcf76f155ced4ddcb4097134ff3c332f xmlns="95e1530c-83b7-4ad6-bc03-8729a55871fa">
      <Terms xmlns="http://schemas.microsoft.com/office/infopath/2007/PartnerControls"/>
    </lcf76f155ced4ddcb4097134ff3c332f>
    <TaxCatchAll xmlns="7df02489-0e3c-4d49-bcef-9470ab7e2d2a">
      <Value>5</Value>
    </TaxCatchAll>
    <Date_x0020_Submitted xmlns="95e1530c-83b7-4ad6-bc03-8729a55871fa" xsi:nil="true"/>
    <CloseDate xmlns="7df02489-0e3c-4d49-bcef-9470ab7e2d2a">2021-12-30T13:00:00+00:00</CloseDate>
    <aciarDLM xmlns="7df02489-0e3c-4d49-bcef-9470ab7e2d2a" xsi:nil="true"/>
    <m2f2bcf22b6d4e67830ef03ffec6f8d8 xmlns="7df02489-0e3c-4d49-bcef-9470ab7e2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- Routine</TermName>
          <TermId xmlns="http://schemas.microsoft.com/office/infopath/2007/PartnerControls">fa5817b5-00e6-4dbe-8cd8-ea82a9948e78</TermId>
        </TermInfo>
      </Terms>
    </m2f2bcf22b6d4e67830ef03ffec6f8d8>
    <RoutingRuleDescription xmlns="http://schemas.microsoft.com/sharepoint/v3" xsi:nil="true"/>
    <CategoryDescription xmlns="http://schemas.microsoft.com/sharepoint.v3" xsi:nil="true"/>
    <_dlc_DocId xmlns="7df02489-0e3c-4d49-bcef-9470ab7e2d2a">HK7NV72NNZFS-354181681-30834</_dlc_DocId>
    <_dlc_DocIdUrl xmlns="7df02489-0e3c-4d49-bcef-9470ab7e2d2a">
      <Url>https://aciar.sharepoint.com/unit/GR/_layouts/15/DocIdRedir.aspx?ID=HK7NV72NNZFS-354181681-30834</Url>
      <Description>HK7NV72NNZFS-354181681-30834</Description>
    </_dlc_DocIdUrl>
  </documentManagement>
</p:properties>
</file>

<file path=customXml/itemProps1.xml><?xml version="1.0" encoding="utf-8"?>
<ds:datastoreItem xmlns:ds="http://schemas.openxmlformats.org/officeDocument/2006/customXml" ds:itemID="{DAAD9B7A-7958-438E-B677-65DD87222E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3F0D11-37A3-45A2-8DE8-299A483F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f02489-0e3c-4d49-bcef-9470ab7e2d2a"/>
    <ds:schemaRef ds:uri="95e1530c-83b7-4ad6-bc03-8729a55871fa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7EB27-FFF2-4862-9E0D-051E6AA91E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9D6FA5-0771-48CE-A2E7-28E8CBD28C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91EA43-21C5-4DED-9E34-6E4E5057CA8D}">
  <ds:schemaRefs>
    <ds:schemaRef ds:uri="http://schemas.microsoft.com/office/2006/metadata/properties"/>
    <ds:schemaRef ds:uri="http://schemas.microsoft.com/office/infopath/2007/PartnerControls"/>
    <ds:schemaRef ds:uri="7df02489-0e3c-4d49-bcef-9470ab7e2d2a"/>
    <ds:schemaRef ds:uri="95e1530c-83b7-4ad6-bc03-8729a55871fa"/>
    <ds:schemaRef ds:uri="http://schemas.microsoft.com/sharepoint/v3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&gt;$100,000 Senate Standing Order Financial Year Report 1 July 2020 – 30 June 2021</vt:lpstr>
    </vt:vector>
  </TitlesOfParts>
  <Company>ACIAR</Company>
  <LinksUpToDate>false</LinksUpToDate>
  <CharactersWithSpaces>3190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mailto:aciar@aciar.gov.au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&gt;$100,000 Senate Standing Order Financial Year Report 1 July 2020 – 30 June 2021</dc:title>
  <dc:subject/>
  <dc:creator>ACIAR</dc:creator>
  <cp:keywords/>
  <dc:description/>
  <cp:lastModifiedBy>Rowe, Bernadette</cp:lastModifiedBy>
  <cp:revision>2</cp:revision>
  <cp:lastPrinted>2022-02-01T00:59:00Z</cp:lastPrinted>
  <dcterms:created xsi:type="dcterms:W3CDTF">2023-02-05T22:36:00Z</dcterms:created>
  <dcterms:modified xsi:type="dcterms:W3CDTF">2023-02-05T22:36:00Z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HK7NV72NNZFS-354181681-27730</vt:lpwstr>
  </property>
  <property fmtid="{D5CDD505-2E9C-101B-9397-08002B2CF9AE}" pid="3" name="_dlc_DocIdItemGuid">
    <vt:lpwstr>3da51be1-b181-44ec-9f3d-20fe7edde386</vt:lpwstr>
  </property>
  <property fmtid="{D5CDD505-2E9C-101B-9397-08002B2CF9AE}" pid="4" name="_dlc_DocIdUrl">
    <vt:lpwstr>https://aciar.sharepoint.com/unit/GR/_layouts/15/DocIdRedir.aspx?ID=HK7NV72NNZFS-354181681-27730, HK7NV72NNZFS-354181681-27730</vt:lpwstr>
  </property>
  <property fmtid="{D5CDD505-2E9C-101B-9397-08002B2CF9AE}" pid="5" name="Reporting Acitvity">
    <vt:lpwstr>Senate Order</vt:lpwstr>
  </property>
  <property fmtid="{D5CDD505-2E9C-101B-9397-08002B2CF9AE}" pid="6" name="Process">
    <vt:lpwstr>Risk</vt:lpwstr>
  </property>
  <property fmtid="{D5CDD505-2E9C-101B-9397-08002B2CF9AE}" pid="7" name="Category">
    <vt:lpwstr/>
  </property>
  <property fmtid="{D5CDD505-2E9C-101B-9397-08002B2CF9AE}" pid="8" name="Process/Activity">
    <vt:lpwstr>Guidance</vt:lpwstr>
  </property>
  <property fmtid="{D5CDD505-2E9C-101B-9397-08002B2CF9AE}" pid="9" name="Legal">
    <vt:lpwstr/>
  </property>
  <property fmtid="{D5CDD505-2E9C-101B-9397-08002B2CF9AE}" pid="10" name="Region">
    <vt:lpwstr/>
  </property>
  <property fmtid="{D5CDD505-2E9C-101B-9397-08002B2CF9AE}" pid="11" name="Advice Activity">
    <vt:lpwstr/>
  </property>
  <property fmtid="{D5CDD505-2E9C-101B-9397-08002B2CF9AE}" pid="12" name="Activity">
    <vt:lpwstr/>
  </property>
  <property fmtid="{D5CDD505-2E9C-101B-9397-08002B2CF9AE}" pid="13" name="Country">
    <vt:lpwstr/>
  </property>
  <property fmtid="{D5CDD505-2E9C-101B-9397-08002B2CF9AE}" pid="14" name="Activity Type">
    <vt:lpwstr>;#How to;#</vt:lpwstr>
  </property>
  <property fmtid="{D5CDD505-2E9C-101B-9397-08002B2CF9AE}" pid="15" name="ContentTypeId">
    <vt:lpwstr>0x010100E07F54063087894D93707EDF864E95A6</vt:lpwstr>
  </property>
  <property fmtid="{D5CDD505-2E9C-101B-9397-08002B2CF9AE}" pid="16" name="BCS Term">
    <vt:lpwstr>5</vt:lpwstr>
  </property>
</Properties>
</file>