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1"/>
        <w:gridCol w:w="4189"/>
        <w:gridCol w:w="1533"/>
        <w:gridCol w:w="1652"/>
        <w:gridCol w:w="1244"/>
        <w:gridCol w:w="1770"/>
        <w:gridCol w:w="1270"/>
        <w:gridCol w:w="797"/>
      </w:tblGrid>
      <w:tr w:rsidR="00747CD1" w:rsidRPr="00747CD1" w14:paraId="2A81E1B6" w14:textId="77777777" w:rsidTr="00A15761">
        <w:trPr>
          <w:trHeight w:val="678"/>
          <w:tblHeader/>
        </w:trPr>
        <w:tc>
          <w:tcPr>
            <w:tcW w:w="15866" w:type="dxa"/>
            <w:gridSpan w:val="8"/>
            <w:shd w:val="clear" w:color="auto" w:fill="E2EFD9" w:themeFill="accent6" w:themeFillTint="33"/>
            <w:noWrap/>
          </w:tcPr>
          <w:p w14:paraId="15808FF5" w14:textId="168EDFEC" w:rsidR="00747CD1" w:rsidRPr="003864BD" w:rsidRDefault="00605EF8" w:rsidP="00747CD1">
            <w:pPr>
              <w:spacing w:before="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SENATE ORDER FOR ENTITY CONTRACTS LISTING RELATING TO THE PERIOD</w:t>
            </w:r>
          </w:p>
          <w:p w14:paraId="41D88562" w14:textId="576B213A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b/>
                <w:i/>
                <w:sz w:val="28"/>
              </w:rPr>
              <w:t xml:space="preserve">1 </w:t>
            </w:r>
            <w:r w:rsidR="00F239E6">
              <w:rPr>
                <w:b/>
                <w:i/>
                <w:sz w:val="28"/>
              </w:rPr>
              <w:t>January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F239E6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 xml:space="preserve">– </w:t>
            </w:r>
            <w:r w:rsidR="00F239E6" w:rsidRPr="003864BD">
              <w:rPr>
                <w:b/>
                <w:i/>
                <w:sz w:val="28"/>
              </w:rPr>
              <w:t>3</w:t>
            </w:r>
            <w:r w:rsidR="00F239E6">
              <w:rPr>
                <w:b/>
                <w:i/>
                <w:sz w:val="28"/>
              </w:rPr>
              <w:t>1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 w:rsidR="00F239E6">
              <w:rPr>
                <w:b/>
                <w:i/>
                <w:sz w:val="28"/>
              </w:rPr>
              <w:t>December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>202</w:t>
            </w:r>
            <w:r w:rsidR="00B9229F">
              <w:rPr>
                <w:b/>
                <w:i/>
                <w:sz w:val="28"/>
              </w:rPr>
              <w:t>3</w:t>
            </w:r>
          </w:p>
        </w:tc>
      </w:tr>
      <w:tr w:rsidR="00B85EA5" w:rsidRPr="00747CD1" w14:paraId="0D9815C6" w14:textId="77777777" w:rsidTr="00B85EA5">
        <w:trPr>
          <w:trHeight w:val="660"/>
          <w:tblHeader/>
        </w:trPr>
        <w:tc>
          <w:tcPr>
            <w:tcW w:w="3411" w:type="dxa"/>
            <w:vMerge w:val="restart"/>
            <w:shd w:val="clear" w:color="auto" w:fill="E2EFD9" w:themeFill="accent6" w:themeFillTint="33"/>
            <w:noWrap/>
            <w:vAlign w:val="center"/>
          </w:tcPr>
          <w:p w14:paraId="48E4AC05" w14:textId="47E4E69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4189" w:type="dxa"/>
            <w:vMerge w:val="restart"/>
            <w:shd w:val="clear" w:color="auto" w:fill="E2EFD9" w:themeFill="accent6" w:themeFillTint="33"/>
            <w:noWrap/>
            <w:vAlign w:val="center"/>
          </w:tcPr>
          <w:p w14:paraId="07A80C12" w14:textId="336E47C1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Subject matter</w:t>
            </w:r>
          </w:p>
        </w:tc>
        <w:tc>
          <w:tcPr>
            <w:tcW w:w="1533" w:type="dxa"/>
            <w:vMerge w:val="restart"/>
            <w:shd w:val="clear" w:color="auto" w:fill="E2EFD9" w:themeFill="accent6" w:themeFillTint="33"/>
            <w:noWrap/>
            <w:vAlign w:val="center"/>
          </w:tcPr>
          <w:p w14:paraId="54E3B041" w14:textId="28C3935A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Amount of consideration</w:t>
            </w:r>
          </w:p>
        </w:tc>
        <w:tc>
          <w:tcPr>
            <w:tcW w:w="1652" w:type="dxa"/>
            <w:vMerge w:val="restart"/>
            <w:shd w:val="clear" w:color="auto" w:fill="E2EFD9" w:themeFill="accent6" w:themeFillTint="33"/>
            <w:noWrap/>
            <w:vAlign w:val="center"/>
          </w:tcPr>
          <w:p w14:paraId="3DEDA3C7" w14:textId="43E691E0" w:rsidR="00747CD1" w:rsidRPr="00747CD1" w:rsidRDefault="00901850" w:rsidP="00747CD1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Commencement</w:t>
            </w: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47CD1"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244" w:type="dxa"/>
            <w:vMerge w:val="restart"/>
            <w:shd w:val="clear" w:color="auto" w:fill="E2EFD9" w:themeFill="accent6" w:themeFillTint="33"/>
            <w:noWrap/>
            <w:vAlign w:val="center"/>
          </w:tcPr>
          <w:p w14:paraId="60B0CDED" w14:textId="6C3EBCF3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Anticipated end date</w:t>
            </w:r>
          </w:p>
        </w:tc>
        <w:tc>
          <w:tcPr>
            <w:tcW w:w="1770" w:type="dxa"/>
            <w:vMerge w:val="restart"/>
            <w:shd w:val="clear" w:color="auto" w:fill="E2EFD9" w:themeFill="accent6" w:themeFillTint="33"/>
            <w:noWrap/>
            <w:vAlign w:val="center"/>
          </w:tcPr>
          <w:p w14:paraId="79D8E59F" w14:textId="3DE3B6EE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Whether contract contains provisions requiring the parties to maintain confidentiality of any of its provisions.</w:t>
            </w:r>
          </w:p>
        </w:tc>
        <w:tc>
          <w:tcPr>
            <w:tcW w:w="2067" w:type="dxa"/>
            <w:gridSpan w:val="2"/>
            <w:shd w:val="clear" w:color="auto" w:fill="E2EFD9" w:themeFill="accent6" w:themeFillTint="33"/>
            <w:noWrap/>
            <w:vAlign w:val="bottom"/>
          </w:tcPr>
          <w:p w14:paraId="12BD9209" w14:textId="2EB7C2EF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Confidentiality</w:t>
            </w:r>
          </w:p>
        </w:tc>
      </w:tr>
      <w:tr w:rsidR="00B85EA5" w:rsidRPr="00747CD1" w14:paraId="45E2B317" w14:textId="77777777" w:rsidTr="00B85EA5">
        <w:trPr>
          <w:trHeight w:val="660"/>
          <w:tblHeader/>
        </w:trPr>
        <w:tc>
          <w:tcPr>
            <w:tcW w:w="3411" w:type="dxa"/>
            <w:vMerge/>
            <w:shd w:val="clear" w:color="auto" w:fill="E2EFD9" w:themeFill="accent6" w:themeFillTint="33"/>
            <w:noWrap/>
            <w:vAlign w:val="center"/>
          </w:tcPr>
          <w:p w14:paraId="68BD05B2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189" w:type="dxa"/>
            <w:vMerge/>
            <w:shd w:val="clear" w:color="auto" w:fill="E2EFD9" w:themeFill="accent6" w:themeFillTint="33"/>
            <w:noWrap/>
            <w:vAlign w:val="center"/>
          </w:tcPr>
          <w:p w14:paraId="36905D2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33" w:type="dxa"/>
            <w:vMerge/>
            <w:shd w:val="clear" w:color="auto" w:fill="E2EFD9" w:themeFill="accent6" w:themeFillTint="33"/>
            <w:noWrap/>
            <w:vAlign w:val="center"/>
          </w:tcPr>
          <w:p w14:paraId="5B5157D6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52" w:type="dxa"/>
            <w:vMerge/>
            <w:shd w:val="clear" w:color="auto" w:fill="E2EFD9" w:themeFill="accent6" w:themeFillTint="33"/>
            <w:noWrap/>
            <w:vAlign w:val="center"/>
          </w:tcPr>
          <w:p w14:paraId="5AA383F5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44" w:type="dxa"/>
            <w:vMerge/>
            <w:shd w:val="clear" w:color="auto" w:fill="E2EFD9" w:themeFill="accent6" w:themeFillTint="33"/>
            <w:noWrap/>
            <w:vAlign w:val="center"/>
          </w:tcPr>
          <w:p w14:paraId="4E0A3854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70" w:type="dxa"/>
            <w:vMerge/>
            <w:shd w:val="clear" w:color="auto" w:fill="E2EFD9" w:themeFill="accent6" w:themeFillTint="33"/>
            <w:noWrap/>
            <w:vAlign w:val="center"/>
          </w:tcPr>
          <w:p w14:paraId="791FBEB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0" w:type="dxa"/>
            <w:shd w:val="clear" w:color="auto" w:fill="E2EFD9" w:themeFill="accent6" w:themeFillTint="33"/>
            <w:noWrap/>
            <w:vAlign w:val="center"/>
          </w:tcPr>
          <w:p w14:paraId="51E34D6A" w14:textId="26E1D1E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other requirements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14:paraId="181DAF81" w14:textId="403D8313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reasons for</w:t>
            </w:r>
          </w:p>
        </w:tc>
      </w:tr>
      <w:tr w:rsidR="00B85EA5" w:rsidRPr="00747CD1" w14:paraId="047C032D" w14:textId="7A9C9B6E" w:rsidTr="00B85EA5">
        <w:trPr>
          <w:trHeight w:val="290"/>
        </w:trPr>
        <w:tc>
          <w:tcPr>
            <w:tcW w:w="3411" w:type="dxa"/>
            <w:shd w:val="clear" w:color="auto" w:fill="auto"/>
            <w:noWrap/>
            <w:hideMark/>
          </w:tcPr>
          <w:p w14:paraId="0DC55EEA" w14:textId="77777777" w:rsidR="00747CD1" w:rsidRPr="007D23DC" w:rsidRDefault="00747CD1" w:rsidP="00747CD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Knight Frank Aust Pty Ltd</w:t>
            </w:r>
          </w:p>
        </w:tc>
        <w:tc>
          <w:tcPr>
            <w:tcW w:w="4189" w:type="dxa"/>
            <w:shd w:val="clear" w:color="auto" w:fill="auto"/>
            <w:noWrap/>
            <w:hideMark/>
          </w:tcPr>
          <w:p w14:paraId="67D6F426" w14:textId="419520CD" w:rsidR="00747CD1" w:rsidRPr="007D23DC" w:rsidRDefault="00747CD1" w:rsidP="00747CD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Lease Agreement for ACIAR House</w:t>
            </w:r>
            <w:r w:rsidR="00FD3C9C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C613809" w14:textId="77777777" w:rsidR="00747CD1" w:rsidRPr="007D23DC" w:rsidRDefault="00747CD1" w:rsidP="00747CD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7,936,222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14:paraId="78AF9020" w14:textId="05339E45" w:rsidR="00747CD1" w:rsidRPr="007D23DC" w:rsidRDefault="00747CD1" w:rsidP="00747CD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  <w:r w:rsidR="006D67A9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Sep</w:t>
            </w:r>
            <w:r w:rsidR="006D67A9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-13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02391A2F" w14:textId="77777777" w:rsidR="00747CD1" w:rsidRPr="007D23DC" w:rsidRDefault="00747CD1" w:rsidP="00747CD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31-Jul-25</w:t>
            </w:r>
          </w:p>
        </w:tc>
        <w:tc>
          <w:tcPr>
            <w:tcW w:w="1770" w:type="dxa"/>
            <w:shd w:val="clear" w:color="auto" w:fill="auto"/>
            <w:noWrap/>
            <w:hideMark/>
          </w:tcPr>
          <w:p w14:paraId="63AE289B" w14:textId="77777777" w:rsidR="00747CD1" w:rsidRPr="007D23DC" w:rsidRDefault="00747CD1" w:rsidP="00747CD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B58B09B" w14:textId="77777777" w:rsidR="00747CD1" w:rsidRPr="007D23DC" w:rsidRDefault="00747CD1" w:rsidP="00747CD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6503C3D2" w14:textId="26E9DB93" w:rsidR="00747CD1" w:rsidRPr="007D23DC" w:rsidRDefault="00747CD1" w:rsidP="00747CD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813522" w14:paraId="5C927D36" w14:textId="77777777" w:rsidTr="00B85EA5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19AB51D4" w14:textId="2D9C7AE1" w:rsidR="003C6675" w:rsidRPr="007D23DC" w:rsidRDefault="007D20FB" w:rsidP="003C667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Development Research Centre</w:t>
            </w:r>
          </w:p>
        </w:tc>
        <w:tc>
          <w:tcPr>
            <w:tcW w:w="4189" w:type="dxa"/>
            <w:shd w:val="clear" w:color="auto" w:fill="auto"/>
            <w:noWrap/>
          </w:tcPr>
          <w:p w14:paraId="5C6F014A" w14:textId="5BD8940E" w:rsidR="003C6675" w:rsidRPr="007D23DC" w:rsidRDefault="003C6675" w:rsidP="003C667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 IDRC Partnership</w:t>
            </w:r>
          </w:p>
        </w:tc>
        <w:tc>
          <w:tcPr>
            <w:tcW w:w="1533" w:type="dxa"/>
            <w:shd w:val="clear" w:color="auto" w:fill="auto"/>
            <w:noWrap/>
          </w:tcPr>
          <w:p w14:paraId="29915478" w14:textId="6710F58D" w:rsidR="003C6675" w:rsidRPr="007D23DC" w:rsidRDefault="00A3302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CAD $</w:t>
            </w:r>
            <w:r w:rsidR="00D83FBA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14,835,902</w:t>
            </w:r>
          </w:p>
        </w:tc>
        <w:tc>
          <w:tcPr>
            <w:tcW w:w="1652" w:type="dxa"/>
            <w:shd w:val="clear" w:color="auto" w:fill="auto"/>
            <w:noWrap/>
          </w:tcPr>
          <w:p w14:paraId="4762383D" w14:textId="20C2FB60" w:rsidR="003C6675" w:rsidRPr="007D23DC" w:rsidRDefault="003C667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17-Jun-20</w:t>
            </w:r>
          </w:p>
        </w:tc>
        <w:tc>
          <w:tcPr>
            <w:tcW w:w="1244" w:type="dxa"/>
            <w:shd w:val="clear" w:color="auto" w:fill="auto"/>
            <w:noWrap/>
          </w:tcPr>
          <w:p w14:paraId="1E14624A" w14:textId="7F77161D" w:rsidR="003C6675" w:rsidRPr="007D23DC" w:rsidRDefault="00901850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color w:val="000000" w:themeColor="text1"/>
                <w:sz w:val="20"/>
                <w:szCs w:val="20"/>
                <w:lang w:eastAsia="en-AU"/>
              </w:rPr>
              <w:t>01-Oct-25</w:t>
            </w:r>
          </w:p>
        </w:tc>
        <w:tc>
          <w:tcPr>
            <w:tcW w:w="1770" w:type="dxa"/>
            <w:shd w:val="clear" w:color="auto" w:fill="auto"/>
            <w:noWrap/>
          </w:tcPr>
          <w:p w14:paraId="0F0B7A77" w14:textId="7378E030" w:rsidR="003C6675" w:rsidRPr="007D23DC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4665E8F1" w14:textId="7F3D9323" w:rsidR="003C6675" w:rsidRPr="007D23DC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EA64ADA" w14:textId="78428FBC" w:rsidR="003C6675" w:rsidRPr="007D23DC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747CD1" w14:paraId="39E03F2A" w14:textId="77777777" w:rsidTr="00B85EA5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44556A" w14:textId="77777777" w:rsidR="00585EAB" w:rsidRPr="007D23DC" w:rsidRDefault="00585EAB" w:rsidP="00EB3FE3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Crawford Fund Limited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48D951B" w14:textId="77777777" w:rsidR="00585EAB" w:rsidRPr="007D23DC" w:rsidRDefault="00585EAB" w:rsidP="00585E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Memorandum of Understanding with the Crawford Fund 2021 – 202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6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69DFF3A" w14:textId="77777777" w:rsidR="00585EAB" w:rsidRPr="007D23DC" w:rsidDel="00A303C1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5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56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6554CC7" w14:textId="77777777" w:rsidR="00585EAB" w:rsidRPr="007D23DC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16F6009" w14:textId="77777777" w:rsidR="00585EAB" w:rsidRPr="00585EAB" w:rsidRDefault="00585EAB" w:rsidP="00EB3FE3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8C408C5" w14:textId="77777777" w:rsidR="00585EAB" w:rsidRPr="007D23D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3913CB1" w14:textId="77777777" w:rsidR="00585EAB" w:rsidRPr="007D23D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224F3" w14:textId="77777777" w:rsidR="00585EAB" w:rsidRPr="007D23D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747CD1" w14:paraId="3B85E988" w14:textId="77777777" w:rsidTr="00B85EA5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8BCF619" w14:textId="77777777" w:rsidR="00585EAB" w:rsidRPr="007D23DC" w:rsidRDefault="00585EAB" w:rsidP="00EB3FE3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Pacific Community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39EB75" w14:textId="77777777" w:rsidR="00585EAB" w:rsidRPr="007D23DC" w:rsidRDefault="00585EAB" w:rsidP="00585E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SPC Partnership Arrangement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D0AC131" w14:textId="77777777" w:rsidR="00585EAB" w:rsidRPr="007D23DC" w:rsidDel="00A303C1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2,135,000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0A25EE7" w14:textId="77777777" w:rsidR="00585EAB" w:rsidRPr="007D23DC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1-Jan-22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01F7F31" w14:textId="77777777" w:rsidR="00585EAB" w:rsidRPr="00585EAB" w:rsidRDefault="00585EAB" w:rsidP="00EB3FE3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color w:val="000000" w:themeColor="text1"/>
                <w:sz w:val="20"/>
                <w:szCs w:val="20"/>
                <w:lang w:eastAsia="en-AU"/>
              </w:rPr>
              <w:t>31-Dec-26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35F21EA" w14:textId="77777777" w:rsidR="00585EAB" w:rsidRPr="007D23D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3A4E0CE" w14:textId="77777777" w:rsidR="00585EAB" w:rsidRPr="007D23D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10DA9" w14:textId="77777777" w:rsidR="00585EAB" w:rsidRPr="007D23D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747CD1" w14:paraId="3DA540BA" w14:textId="77777777" w:rsidTr="00B85EA5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833B5C0" w14:textId="74155426" w:rsidR="00D230A1" w:rsidRPr="007D23DC" w:rsidRDefault="00D230A1" w:rsidP="00D230A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D230A1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University of Southern Queensland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D03DFA" w14:textId="30F38354" w:rsidR="00D230A1" w:rsidRPr="007D23DC" w:rsidRDefault="00D230A1" w:rsidP="00D230A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C459E">
              <w:rPr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5C459E">
              <w:rPr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5C459E">
              <w:rPr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9E64E46" w14:textId="01B11EF2" w:rsidR="00D230A1" w:rsidRPr="007D23DC" w:rsidRDefault="00D230A1" w:rsidP="00D230A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D230A1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115,500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355C4F1" w14:textId="633E0764" w:rsidR="00D230A1" w:rsidRPr="007D23DC" w:rsidRDefault="00D230A1" w:rsidP="00D230A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7158DF" w14:textId="422EBB1E" w:rsidR="00D230A1" w:rsidRPr="00585EAB" w:rsidRDefault="00D230A1" w:rsidP="00D230A1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5C459E">
              <w:rPr>
                <w:color w:val="000000" w:themeColor="text1"/>
                <w:sz w:val="20"/>
                <w:szCs w:val="20"/>
                <w:lang w:eastAsia="en-AU"/>
              </w:rPr>
              <w:t>30-Jun-24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36B3EA6" w14:textId="15CD4618" w:rsidR="00D230A1" w:rsidRPr="007D23DC" w:rsidRDefault="00D230A1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44F45C4" w14:textId="7F06B22C" w:rsidR="00D230A1" w:rsidRPr="007D23DC" w:rsidRDefault="00D230A1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4336B" w14:textId="3EEE4FAD" w:rsidR="00D230A1" w:rsidRPr="007D23DC" w:rsidRDefault="00D230A1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813522" w14:paraId="23F0C5B0" w14:textId="77777777" w:rsidTr="00B85EA5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ED41758" w14:textId="652C245C" w:rsidR="005C459E" w:rsidRPr="005C459E" w:rsidRDefault="005C459E" w:rsidP="00D724E4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color w:val="000000" w:themeColor="text1"/>
                <w:sz w:val="20"/>
                <w:szCs w:val="20"/>
                <w:lang w:eastAsia="en-AU"/>
              </w:rPr>
              <w:t>University of Melbourne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9907838" w14:textId="77777777" w:rsidR="005C459E" w:rsidRPr="005C459E" w:rsidRDefault="005C459E" w:rsidP="00D724E4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5C459E">
              <w:rPr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5C459E">
              <w:rPr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5C459E">
              <w:rPr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660A961" w14:textId="5C66E4D5" w:rsidR="005C459E" w:rsidRPr="005C459E" w:rsidRDefault="00585EAB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color w:val="000000" w:themeColor="text1"/>
                <w:sz w:val="20"/>
                <w:szCs w:val="20"/>
                <w:lang w:eastAsia="en-AU"/>
              </w:rPr>
              <w:t>178,238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4EA815" w14:textId="7045FE5E" w:rsidR="005C459E" w:rsidRPr="005C459E" w:rsidRDefault="005C459E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color w:val="000000" w:themeColor="text1"/>
                <w:sz w:val="20"/>
                <w:szCs w:val="20"/>
                <w:lang w:eastAsia="en-AU"/>
              </w:rPr>
              <w:t>7</w:t>
            </w:r>
            <w:r w:rsidRPr="005C459E">
              <w:rPr>
                <w:color w:val="000000" w:themeColor="text1"/>
                <w:sz w:val="20"/>
                <w:szCs w:val="20"/>
                <w:lang w:eastAsia="en-AU"/>
              </w:rPr>
              <w:t>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5931028" w14:textId="77777777" w:rsidR="005C459E" w:rsidRPr="005C459E" w:rsidRDefault="005C459E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5C459E">
              <w:rPr>
                <w:color w:val="000000" w:themeColor="text1"/>
                <w:sz w:val="20"/>
                <w:szCs w:val="20"/>
                <w:lang w:eastAsia="en-AU"/>
              </w:rPr>
              <w:t>30-Jun-24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5DFC944" w14:textId="77777777" w:rsidR="005C459E" w:rsidRPr="007D23DC" w:rsidRDefault="005C459E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538FD90" w14:textId="77777777" w:rsidR="005C459E" w:rsidRPr="007D23DC" w:rsidRDefault="005C459E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43835" w14:textId="77777777" w:rsidR="005C459E" w:rsidRPr="007D23DC" w:rsidRDefault="005C459E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813522" w14:paraId="07C612CD" w14:textId="1C9F60A1" w:rsidTr="00B85EA5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3A9C53DC" w14:textId="618961C1" w:rsidR="00C91140" w:rsidRPr="007D23DC" w:rsidRDefault="00C91140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Australian National University</w:t>
            </w:r>
          </w:p>
        </w:tc>
        <w:tc>
          <w:tcPr>
            <w:tcW w:w="4189" w:type="dxa"/>
            <w:shd w:val="clear" w:color="auto" w:fill="auto"/>
            <w:noWrap/>
          </w:tcPr>
          <w:p w14:paraId="1A49E31C" w14:textId="6A7C9D51" w:rsidR="00C91140" w:rsidRPr="007D23DC" w:rsidRDefault="00C91140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shd w:val="clear" w:color="auto" w:fill="auto"/>
            <w:noWrap/>
          </w:tcPr>
          <w:p w14:paraId="1F9A67E4" w14:textId="134BF3A6" w:rsidR="00C91140" w:rsidRPr="007D23DC" w:rsidRDefault="00D230A1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D230A1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780,969</w:t>
            </w:r>
          </w:p>
        </w:tc>
        <w:tc>
          <w:tcPr>
            <w:tcW w:w="1652" w:type="dxa"/>
            <w:shd w:val="clear" w:color="auto" w:fill="auto"/>
            <w:noWrap/>
          </w:tcPr>
          <w:p w14:paraId="01904A95" w14:textId="21D2EBA9" w:rsidR="00C91140" w:rsidRPr="007D23DC" w:rsidRDefault="001912C1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8-Sep-22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1789E4D0" w14:textId="63CEF514" w:rsidR="00C91140" w:rsidRPr="007D23DC" w:rsidRDefault="00C91140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</w:t>
            </w:r>
            <w:r w:rsidR="005C459E"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  <w:r w:rsidR="005C459E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</w:tcPr>
          <w:p w14:paraId="201BB943" w14:textId="300A1436" w:rsidR="00C91140" w:rsidRPr="007D23DC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629EF912" w14:textId="0DB633D0" w:rsidR="00C91140" w:rsidRPr="007D23DC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4ACAF8" w14:textId="21EE5E06" w:rsidR="00C91140" w:rsidRPr="007D23DC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813522" w14:paraId="4C7F88F8" w14:textId="77777777" w:rsidTr="00EF2008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1AAE5CE" w14:textId="2BBB5613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Charles Darwin University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43EF3F0" w14:textId="159CEEF0" w:rsidR="00A15761" w:rsidRPr="007D23DC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2131CE" w14:textId="37B41D75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128,340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8069CD" w14:textId="5C6A1EFA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B67BFA1" w14:textId="48245BFE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2F5B62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1D1748D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116AB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813522" w14:paraId="4F98DE86" w14:textId="77777777" w:rsidTr="00EF2008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E2691E" w14:textId="10903536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9E77E31" w14:textId="35E9EFD3" w:rsidR="00A15761" w:rsidRPr="007D23DC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E0CC8E" w14:textId="4D3646A9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166,568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B144A9D" w14:textId="77777777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7F3982" w14:textId="37167874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FCE0D36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EDDBA6A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560A2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813522" w14:paraId="247E38AA" w14:textId="77777777" w:rsidTr="00EF2008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57BE22A" w14:textId="0B2925BF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CA02A57" w14:textId="7417D912" w:rsidR="00A15761" w:rsidRPr="007D23DC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853794" w14:textId="113478B5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394,038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B1F8DD" w14:textId="77777777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A516CC" w14:textId="6879AE29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26841C9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4B0A644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76E46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813522" w14:paraId="6F6CA08C" w14:textId="77777777" w:rsidTr="00EF2008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C172DFE" w14:textId="5C93C915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04C3A92" w14:textId="77777777" w:rsidR="00A15761" w:rsidRPr="007D23DC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6FCFF3" w14:textId="2C3B9EFB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226,710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789801C" w14:textId="77777777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1047C0D" w14:textId="77777777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417DC50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26B9785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09479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813522" w14:paraId="4AB56969" w14:textId="4F3230F3" w:rsidTr="00EF2008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55F61A58" w14:textId="133615C2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4189" w:type="dxa"/>
            <w:shd w:val="clear" w:color="auto" w:fill="auto"/>
            <w:noWrap/>
          </w:tcPr>
          <w:p w14:paraId="5D5D8865" w14:textId="1F1B38C8" w:rsidR="00A15761" w:rsidRPr="007D23DC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8467024" w14:textId="19850C3C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814,111</w:t>
            </w:r>
          </w:p>
        </w:tc>
        <w:tc>
          <w:tcPr>
            <w:tcW w:w="1652" w:type="dxa"/>
            <w:shd w:val="clear" w:color="auto" w:fill="auto"/>
            <w:noWrap/>
          </w:tcPr>
          <w:p w14:paraId="71491308" w14:textId="694F97BE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1B6C00B6" w14:textId="6BE65DE3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</w:tcPr>
          <w:p w14:paraId="196401B0" w14:textId="5099CD24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2CA17FED" w14:textId="375FCA6D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38CBADC" w14:textId="70E58419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813522" w14:paraId="45D5E1A8" w14:textId="6A32626F" w:rsidTr="00EF2008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2003FC96" w14:textId="5D08F3FD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4189" w:type="dxa"/>
            <w:shd w:val="clear" w:color="auto" w:fill="auto"/>
            <w:noWrap/>
          </w:tcPr>
          <w:p w14:paraId="53FDD158" w14:textId="7FACC738" w:rsidR="00A15761" w:rsidRPr="007D23DC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B55086A" w14:textId="641AAADF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649,671</w:t>
            </w:r>
          </w:p>
        </w:tc>
        <w:tc>
          <w:tcPr>
            <w:tcW w:w="1652" w:type="dxa"/>
            <w:shd w:val="clear" w:color="auto" w:fill="auto"/>
            <w:noWrap/>
          </w:tcPr>
          <w:p w14:paraId="1830B67B" w14:textId="374C7DD6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1FD55CB6" w14:textId="2FD23044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</w:tcPr>
          <w:p w14:paraId="5752654B" w14:textId="30099E61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0F04CA69" w14:textId="7C0DCD45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F72467" w14:textId="3888CEB2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813522" w14:paraId="3CB5EADD" w14:textId="77777777" w:rsidTr="00EF2008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17A2B687" w14:textId="7CA37AC5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University of Adelaide</w:t>
            </w:r>
          </w:p>
        </w:tc>
        <w:tc>
          <w:tcPr>
            <w:tcW w:w="4189" w:type="dxa"/>
            <w:shd w:val="clear" w:color="auto" w:fill="auto"/>
            <w:noWrap/>
          </w:tcPr>
          <w:p w14:paraId="5841174F" w14:textId="2D9264AA" w:rsidR="00A15761" w:rsidRPr="007D23DC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428095D" w14:textId="7B9BFBCA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589,617</w:t>
            </w:r>
          </w:p>
        </w:tc>
        <w:tc>
          <w:tcPr>
            <w:tcW w:w="1652" w:type="dxa"/>
            <w:shd w:val="clear" w:color="auto" w:fill="auto"/>
            <w:noWrap/>
          </w:tcPr>
          <w:p w14:paraId="1EFC228F" w14:textId="48C71735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49C67F65" w14:textId="4F3D6D36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770" w:type="dxa"/>
            <w:shd w:val="clear" w:color="auto" w:fill="auto"/>
            <w:noWrap/>
          </w:tcPr>
          <w:p w14:paraId="5F122F6A" w14:textId="72D4496C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57B1DAA9" w14:textId="1FE2DC5E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C2EEFB2" w14:textId="18CA5B15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747CD1" w14:paraId="7E7C6F51" w14:textId="77777777" w:rsidTr="00EF2008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B189ED5" w14:textId="5A12B18E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A92180A" w14:textId="77777777" w:rsidR="00A15761" w:rsidRPr="007D23DC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B1019F" w14:textId="603F777B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344,491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E982BFC" w14:textId="77777777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EDC1E1E" w14:textId="77777777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D7C27E2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F12F1C7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22FB1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747CD1" w14:paraId="5E9D4C0A" w14:textId="29CDD5F2" w:rsidTr="00EF2008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3AFF5454" w14:textId="1D24AD5D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University of New England</w:t>
            </w:r>
          </w:p>
        </w:tc>
        <w:tc>
          <w:tcPr>
            <w:tcW w:w="4189" w:type="dxa"/>
            <w:shd w:val="clear" w:color="auto" w:fill="auto"/>
            <w:noWrap/>
          </w:tcPr>
          <w:p w14:paraId="7052FA32" w14:textId="1EB39AF0" w:rsidR="00A15761" w:rsidRPr="007D23DC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3A554EA5" w14:textId="50EE9111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471,254</w:t>
            </w:r>
          </w:p>
        </w:tc>
        <w:tc>
          <w:tcPr>
            <w:tcW w:w="1652" w:type="dxa"/>
            <w:shd w:val="clear" w:color="auto" w:fill="auto"/>
            <w:noWrap/>
          </w:tcPr>
          <w:p w14:paraId="75B6DACB" w14:textId="0C6DE46A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02F48933" w14:textId="23AA4C28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</w:tcPr>
          <w:p w14:paraId="7A4008EB" w14:textId="43629DAC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05A323B3" w14:textId="3947A906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8957D7A" w14:textId="0D2C2758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747CD1" w14:paraId="12126F56" w14:textId="79FBA5FB" w:rsidTr="00EF2008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537AF672" w14:textId="74F014AB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4189" w:type="dxa"/>
            <w:shd w:val="clear" w:color="auto" w:fill="auto"/>
            <w:noWrap/>
          </w:tcPr>
          <w:p w14:paraId="2F4D52F3" w14:textId="49663BF6" w:rsidR="00A15761" w:rsidRPr="007D23DC" w:rsidRDefault="00A15761" w:rsidP="00A15761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473FE75" w14:textId="12EA205B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172,961</w:t>
            </w:r>
          </w:p>
        </w:tc>
        <w:tc>
          <w:tcPr>
            <w:tcW w:w="1652" w:type="dxa"/>
            <w:shd w:val="clear" w:color="auto" w:fill="auto"/>
            <w:noWrap/>
          </w:tcPr>
          <w:p w14:paraId="30F5A19A" w14:textId="4A0A385A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shd w:val="clear" w:color="auto" w:fill="auto"/>
            <w:noWrap/>
          </w:tcPr>
          <w:p w14:paraId="5A455547" w14:textId="15825C06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</w:tcPr>
          <w:p w14:paraId="30E577CF" w14:textId="71EE1E7A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6E321311" w14:textId="57142169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61B8745" w14:textId="3A5292FC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747CD1" w14:paraId="279F1D3E" w14:textId="77777777" w:rsidTr="00EF2008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7DBA65D" w14:textId="2B5C618F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University of Sunshine Coast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08A4601" w14:textId="77777777" w:rsidR="00A15761" w:rsidRPr="007D23DC" w:rsidRDefault="00A15761" w:rsidP="00A15761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AC76E6" w14:textId="6ECA445F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174,305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A5A038F" w14:textId="77777777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477305" w14:textId="77777777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2145A23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D2C9F4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A7C4B" w14:textId="77777777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747CD1" w14:paraId="641093E8" w14:textId="77777777" w:rsidTr="00EF2008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5720EF6" w14:textId="28BBC8AC" w:rsidR="00A15761" w:rsidRPr="00A15761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A15761">
              <w:rPr>
                <w:color w:val="000000" w:themeColor="text1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3B4CF02" w14:textId="0104D3BB" w:rsidR="00A15761" w:rsidRPr="007D23DC" w:rsidRDefault="00A15761" w:rsidP="00A15761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7638D3" w14:textId="0A6BC014" w:rsidR="00A15761" w:rsidRPr="00B85EA5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6EB9DD" w14:textId="4FC018DE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6DD2A80" w14:textId="1786D21B" w:rsidR="00A15761" w:rsidRPr="007D23DC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DB45AD3" w14:textId="2A3722B0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B0D20D4" w14:textId="203A7B5A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12620" w14:textId="7E9AF51F" w:rsidR="00A15761" w:rsidRPr="007D23DC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813522" w14:paraId="1A7D6356" w14:textId="77777777" w:rsidTr="00A15761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AC34CAA" w14:textId="77777777" w:rsidR="00A15761" w:rsidRPr="007D23DC" w:rsidRDefault="00A15761" w:rsidP="006D670A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lastRenderedPageBreak/>
              <w:t>The International Centre for Insect Physiology and Ecology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160DEA9" w14:textId="77777777" w:rsidR="00A15761" w:rsidRPr="007D23DC" w:rsidRDefault="00A15761" w:rsidP="006D670A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ACIAR-ICIPE Partnership Arrangement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C4AEF7C" w14:textId="77777777" w:rsidR="00A15761" w:rsidRPr="007D23DC" w:rsidRDefault="00A15761" w:rsidP="006D670A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1,500,000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D225B6" w14:textId="77777777" w:rsidR="00A15761" w:rsidRPr="007D23DC" w:rsidRDefault="00A15761" w:rsidP="006D670A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2-Nov-22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5FDA3C4" w14:textId="77777777" w:rsidR="00A15761" w:rsidRPr="007D23DC" w:rsidRDefault="00A15761" w:rsidP="006D670A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E805836" w14:textId="77777777" w:rsidR="00A15761" w:rsidRPr="007D23DC" w:rsidRDefault="00A15761" w:rsidP="006D670A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CC510CB" w14:textId="77777777" w:rsidR="00A15761" w:rsidRPr="007D23DC" w:rsidRDefault="00A15761" w:rsidP="006D670A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221B48" w14:textId="77777777" w:rsidR="00A15761" w:rsidRPr="007D23DC" w:rsidRDefault="00A15761" w:rsidP="006D670A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747CD1" w14:paraId="76602231" w14:textId="77777777" w:rsidTr="00B85EA5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2486139F" w14:textId="188E38BA" w:rsidR="00B85EA5" w:rsidRPr="007D23DC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C459E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University of Sydney</w:t>
            </w:r>
          </w:p>
        </w:tc>
        <w:tc>
          <w:tcPr>
            <w:tcW w:w="4189" w:type="dxa"/>
            <w:shd w:val="clear" w:color="auto" w:fill="auto"/>
            <w:noWrap/>
          </w:tcPr>
          <w:p w14:paraId="46AB89BC" w14:textId="2322E6DA" w:rsidR="00B85EA5" w:rsidRPr="007D23DC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shd w:val="clear" w:color="auto" w:fill="auto"/>
            <w:noWrap/>
          </w:tcPr>
          <w:p w14:paraId="3DCFDC5F" w14:textId="5A46D7D2" w:rsidR="00B85EA5" w:rsidRPr="007D23DC" w:rsidDel="00A303C1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B03A9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298,529</w:t>
            </w:r>
          </w:p>
        </w:tc>
        <w:tc>
          <w:tcPr>
            <w:tcW w:w="1652" w:type="dxa"/>
            <w:shd w:val="clear" w:color="auto" w:fill="auto"/>
            <w:noWrap/>
          </w:tcPr>
          <w:p w14:paraId="6A45F1A4" w14:textId="2E53CB6C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Nov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-22</w:t>
            </w:r>
          </w:p>
        </w:tc>
        <w:tc>
          <w:tcPr>
            <w:tcW w:w="1244" w:type="dxa"/>
            <w:shd w:val="clear" w:color="auto" w:fill="auto"/>
            <w:noWrap/>
          </w:tcPr>
          <w:p w14:paraId="18540536" w14:textId="5FAFA77A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</w:tcPr>
          <w:p w14:paraId="6A5899EB" w14:textId="70B8EAD4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6415BA24" w14:textId="0115BC5C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3092D4E4" w14:textId="39E7B3EB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813522" w14:paraId="00306DF4" w14:textId="77777777" w:rsidTr="00B85EA5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4ECB29A" w14:textId="77777777" w:rsidR="00B85EA5" w:rsidRPr="007D23DC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Asia Pacific Association of Agricultural Research Institutions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78C8DF7" w14:textId="77777777" w:rsidR="00B85EA5" w:rsidRPr="007D23DC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 Contribution to APAARI 2022-23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62F3CA2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D35EF17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1-Jan-23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9220FD5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31-Dec-23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AC64D5A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492298B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0AE03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813522" w14:paraId="25E396BB" w14:textId="77777777" w:rsidTr="00B85EA5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D227C0B" w14:textId="77777777" w:rsidR="00B85EA5" w:rsidRPr="007D23DC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The World Vegetable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Center</w:t>
            </w:r>
            <w:proofErr w:type="spellEnd"/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EFD882B" w14:textId="77777777" w:rsidR="00B85EA5" w:rsidRPr="007D23DC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ACIAR-World Vegetable </w:t>
            </w:r>
            <w:proofErr w:type="spellStart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Center</w:t>
            </w:r>
            <w:proofErr w:type="spellEnd"/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Partnership Arrangement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F5D88C1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1,500,000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2541142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13-Feb-23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E26CCD8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31-Mar-26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18D5955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6A8C3B4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8C893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747CD1" w14:paraId="1047C6FF" w14:textId="77777777" w:rsidTr="00B85EA5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25A39FD3" w14:textId="08EE1571" w:rsidR="00B85EA5" w:rsidRPr="007D23DC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4189" w:type="dxa"/>
            <w:shd w:val="clear" w:color="auto" w:fill="auto"/>
            <w:noWrap/>
          </w:tcPr>
          <w:p w14:paraId="11373A39" w14:textId="30B9518A" w:rsidR="00B85EA5" w:rsidRPr="007D23DC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shd w:val="clear" w:color="auto" w:fill="auto"/>
            <w:noWrap/>
          </w:tcPr>
          <w:p w14:paraId="0EC144A6" w14:textId="6285AB3F" w:rsidR="00B85EA5" w:rsidRPr="007D23DC" w:rsidDel="00A303C1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B85EA5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228,550</w:t>
            </w:r>
          </w:p>
        </w:tc>
        <w:tc>
          <w:tcPr>
            <w:tcW w:w="1652" w:type="dxa"/>
            <w:shd w:val="clear" w:color="auto" w:fill="auto"/>
            <w:noWrap/>
          </w:tcPr>
          <w:p w14:paraId="277340AA" w14:textId="704D966C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27-Mar-23</w:t>
            </w:r>
          </w:p>
        </w:tc>
        <w:tc>
          <w:tcPr>
            <w:tcW w:w="1244" w:type="dxa"/>
            <w:shd w:val="clear" w:color="auto" w:fill="auto"/>
            <w:noWrap/>
          </w:tcPr>
          <w:p w14:paraId="0B84819E" w14:textId="6B909B2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30-Jun-24</w:t>
            </w:r>
          </w:p>
        </w:tc>
        <w:tc>
          <w:tcPr>
            <w:tcW w:w="1770" w:type="dxa"/>
            <w:shd w:val="clear" w:color="auto" w:fill="auto"/>
            <w:noWrap/>
          </w:tcPr>
          <w:p w14:paraId="756D454A" w14:textId="259D12FE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7C081F3E" w14:textId="15EE5C70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EA374FF" w14:textId="745CF712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747CD1" w14:paraId="704E7AF8" w14:textId="77777777" w:rsidTr="00B85EA5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486BCFA2" w14:textId="505F26E0" w:rsidR="00B85EA5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B85EA5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Asia Pacific Association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o</w:t>
            </w:r>
            <w:r w:rsidRPr="00B85EA5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f Agricultural Research Institutions</w:t>
            </w:r>
          </w:p>
        </w:tc>
        <w:tc>
          <w:tcPr>
            <w:tcW w:w="4189" w:type="dxa"/>
            <w:shd w:val="clear" w:color="auto" w:fill="auto"/>
            <w:noWrap/>
          </w:tcPr>
          <w:p w14:paraId="6B094A9F" w14:textId="4BA43D95" w:rsidR="00B85EA5" w:rsidRPr="00BD4AFC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APAARI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Partnership Arrangement </w:t>
            </w:r>
          </w:p>
        </w:tc>
        <w:tc>
          <w:tcPr>
            <w:tcW w:w="1533" w:type="dxa"/>
            <w:shd w:val="clear" w:color="auto" w:fill="auto"/>
            <w:noWrap/>
          </w:tcPr>
          <w:p w14:paraId="5E80AE9F" w14:textId="5BE7CBA2" w:rsidR="00B85EA5" w:rsidRPr="00B85EA5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110,000</w:t>
            </w:r>
          </w:p>
        </w:tc>
        <w:tc>
          <w:tcPr>
            <w:tcW w:w="1652" w:type="dxa"/>
            <w:shd w:val="clear" w:color="auto" w:fill="auto"/>
            <w:noWrap/>
          </w:tcPr>
          <w:p w14:paraId="09B7E328" w14:textId="17B62619" w:rsidR="00B85EA5" w:rsidRPr="00BD4AF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1-Apr-23</w:t>
            </w:r>
          </w:p>
        </w:tc>
        <w:tc>
          <w:tcPr>
            <w:tcW w:w="1244" w:type="dxa"/>
            <w:shd w:val="clear" w:color="auto" w:fill="auto"/>
            <w:noWrap/>
          </w:tcPr>
          <w:p w14:paraId="6E921D64" w14:textId="3D1842BC" w:rsidR="00B85EA5" w:rsidRPr="00BD4AF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770" w:type="dxa"/>
            <w:shd w:val="clear" w:color="auto" w:fill="auto"/>
            <w:noWrap/>
          </w:tcPr>
          <w:p w14:paraId="767E7771" w14:textId="55F95E83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6CB91C77" w14:textId="5AABB429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1485E929" w14:textId="082B6A4E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813522" w14:paraId="547E1BCB" w14:textId="77777777" w:rsidTr="00B85EA5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3413AA3" w14:textId="77777777" w:rsidR="00B85EA5" w:rsidRPr="007D23DC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CAB International UK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87351CA" w14:textId="77777777" w:rsidR="00B85EA5" w:rsidRPr="007D23DC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ACIAR-CABI Partnership Arrangement 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B156C4D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600,000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FE8AF7A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1-Apr-23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CA08534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585EA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5230A55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C505532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10B60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747CD1" w14:paraId="1B535C12" w14:textId="77777777" w:rsidTr="00B85EA5">
        <w:trPr>
          <w:trHeight w:val="290"/>
        </w:trPr>
        <w:tc>
          <w:tcPr>
            <w:tcW w:w="3411" w:type="dxa"/>
            <w:shd w:val="clear" w:color="auto" w:fill="auto"/>
            <w:noWrap/>
          </w:tcPr>
          <w:p w14:paraId="590E7E19" w14:textId="7BC9B137" w:rsidR="00B85EA5" w:rsidRPr="007D23DC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Rice Research Institute</w:t>
            </w:r>
          </w:p>
        </w:tc>
        <w:tc>
          <w:tcPr>
            <w:tcW w:w="4189" w:type="dxa"/>
            <w:shd w:val="clear" w:color="auto" w:fill="auto"/>
            <w:noWrap/>
          </w:tcPr>
          <w:p w14:paraId="1C0860A6" w14:textId="03A08AD0" w:rsidR="00B85EA5" w:rsidRPr="007D23DC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ASEAN-CGIAR Regional Program Initiative </w:t>
            </w:r>
          </w:p>
        </w:tc>
        <w:tc>
          <w:tcPr>
            <w:tcW w:w="1533" w:type="dxa"/>
            <w:shd w:val="clear" w:color="auto" w:fill="auto"/>
            <w:noWrap/>
          </w:tcPr>
          <w:p w14:paraId="0870726F" w14:textId="40F9FC8B" w:rsidR="00B85EA5" w:rsidRPr="007D23DC" w:rsidDel="00A303C1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,000,000</w:t>
            </w:r>
          </w:p>
        </w:tc>
        <w:tc>
          <w:tcPr>
            <w:tcW w:w="1652" w:type="dxa"/>
            <w:shd w:val="clear" w:color="auto" w:fill="auto"/>
            <w:noWrap/>
          </w:tcPr>
          <w:p w14:paraId="5CE2D3A8" w14:textId="515A3610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20-Apr-23</w:t>
            </w:r>
          </w:p>
        </w:tc>
        <w:tc>
          <w:tcPr>
            <w:tcW w:w="1244" w:type="dxa"/>
            <w:shd w:val="clear" w:color="auto" w:fill="auto"/>
            <w:noWrap/>
          </w:tcPr>
          <w:p w14:paraId="04DEAAE1" w14:textId="0CD8EE4A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Dec</w:t>
            </w: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</w:tcPr>
          <w:p w14:paraId="6D4E1ADB" w14:textId="793A44A0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shd w:val="clear" w:color="auto" w:fill="auto"/>
            <w:noWrap/>
          </w:tcPr>
          <w:p w14:paraId="68692856" w14:textId="4B67B3B9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53D50EC" w14:textId="646694F3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747CD1" w14:paraId="69263F2D" w14:textId="77777777" w:rsidTr="00B85EA5">
        <w:trPr>
          <w:trHeight w:val="290"/>
        </w:trPr>
        <w:tc>
          <w:tcPr>
            <w:tcW w:w="3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C7F4ED7" w14:textId="77777777" w:rsidR="00B85EA5" w:rsidRPr="007D23DC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Sothern Cross University</w:t>
            </w:r>
          </w:p>
        </w:tc>
        <w:tc>
          <w:tcPr>
            <w:tcW w:w="4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B005E48" w14:textId="77777777" w:rsidR="00B85EA5" w:rsidRPr="007D23DC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</w:t>
            </w:r>
            <w:proofErr w:type="spellStart"/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Allwright</w:t>
            </w:r>
            <w:proofErr w:type="spellEnd"/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Fellowship Program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82DB145" w14:textId="77777777" w:rsidR="00B85EA5" w:rsidRPr="007D23DC" w:rsidDel="00A303C1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13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00</w:t>
            </w:r>
          </w:p>
        </w:tc>
        <w:tc>
          <w:tcPr>
            <w:tcW w:w="16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BF677FD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18</w:t>
            </w: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Jul</w:t>
            </w: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-23</w:t>
            </w:r>
          </w:p>
        </w:tc>
        <w:tc>
          <w:tcPr>
            <w:tcW w:w="1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965E92B" w14:textId="77777777" w:rsidR="00B85EA5" w:rsidRPr="007D23DC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BD4AF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30-Jun-24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5AF02AB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06311E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6FAF5" w14:textId="77777777" w:rsidR="00B85EA5" w:rsidRPr="007D23DC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7D23D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</w:tbl>
    <w:p w14:paraId="681B4D23" w14:textId="77777777" w:rsidR="00EF7C38" w:rsidRDefault="00EF7C38">
      <w:pPr>
        <w:rPr>
          <w:sz w:val="20"/>
        </w:rPr>
      </w:pPr>
    </w:p>
    <w:p w14:paraId="69F5D1CF" w14:textId="734EB99F" w:rsidR="00EF7C38" w:rsidRDefault="00EB3FAF" w:rsidP="0013051A">
      <w:pPr>
        <w:ind w:left="284" w:right="-479"/>
        <w:rPr>
          <w:sz w:val="20"/>
        </w:rPr>
      </w:pPr>
      <w:r w:rsidRPr="00EB3FAF">
        <w:rPr>
          <w:sz w:val="20"/>
        </w:rPr>
        <w:t xml:space="preserve">Pursuant to the Senate Order on non‐corporate Commonwealth entity contracts the </w:t>
      </w:r>
      <w:r w:rsidR="00742335">
        <w:rPr>
          <w:sz w:val="20"/>
        </w:rPr>
        <w:t>above</w:t>
      </w:r>
      <w:r w:rsidR="00742335" w:rsidRPr="00EB3FAF">
        <w:rPr>
          <w:sz w:val="20"/>
        </w:rPr>
        <w:t xml:space="preserve"> </w:t>
      </w:r>
      <w:r w:rsidRPr="00EB3FAF">
        <w:rPr>
          <w:sz w:val="20"/>
        </w:rPr>
        <w:t xml:space="preserve">table sets out contracts </w:t>
      </w:r>
      <w:proofErr w:type="gramStart"/>
      <w:r w:rsidRPr="00EB3FAF">
        <w:rPr>
          <w:sz w:val="20"/>
        </w:rPr>
        <w:t>entered into</w:t>
      </w:r>
      <w:proofErr w:type="gramEnd"/>
      <w:r w:rsidRPr="00EB3FAF">
        <w:rPr>
          <w:sz w:val="20"/>
        </w:rPr>
        <w:t xml:space="preserve"> by </w:t>
      </w:r>
      <w:r>
        <w:rPr>
          <w:sz w:val="20"/>
        </w:rPr>
        <w:t>the Australian Centre for International Agricultural Research</w:t>
      </w:r>
      <w:r w:rsidRPr="00EB3FAF">
        <w:rPr>
          <w:sz w:val="20"/>
        </w:rPr>
        <w:t xml:space="preserve"> which provide for a consideration to the value of $100,000 or more (GST inclusive) and</w:t>
      </w:r>
      <w:r w:rsidR="00742335">
        <w:rPr>
          <w:sz w:val="20"/>
        </w:rPr>
        <w:t xml:space="preserve"> which</w:t>
      </w:r>
      <w:r w:rsidR="00EF7C38">
        <w:rPr>
          <w:sz w:val="20"/>
        </w:rPr>
        <w:t>:</w:t>
      </w:r>
    </w:p>
    <w:p w14:paraId="676D2511" w14:textId="77777777" w:rsidR="00EF7C38" w:rsidRDefault="00EF7C38" w:rsidP="0013051A">
      <w:pPr>
        <w:ind w:left="284" w:right="-479"/>
        <w:rPr>
          <w:sz w:val="20"/>
        </w:rPr>
      </w:pPr>
    </w:p>
    <w:p w14:paraId="60520E79" w14:textId="7A8EC49C" w:rsid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 xml:space="preserve">have not been fully performed as </w:t>
      </w:r>
      <w:proofErr w:type="gramStart"/>
      <w:r w:rsidRPr="00EF7C38">
        <w:rPr>
          <w:sz w:val="20"/>
        </w:rPr>
        <w:t>at</w:t>
      </w:r>
      <w:proofErr w:type="gramEnd"/>
      <w:r w:rsidRPr="00EF7C38">
        <w:rPr>
          <w:sz w:val="20"/>
        </w:rPr>
        <w:t xml:space="preserve"> </w:t>
      </w:r>
      <w:r w:rsidR="00C056D2">
        <w:rPr>
          <w:sz w:val="20"/>
        </w:rPr>
        <w:t>31 December</w:t>
      </w:r>
      <w:r w:rsidR="00C056D2" w:rsidRPr="00EF7C38">
        <w:rPr>
          <w:sz w:val="20"/>
        </w:rPr>
        <w:t xml:space="preserve"> </w:t>
      </w:r>
      <w:r w:rsidRPr="00EF7C38">
        <w:rPr>
          <w:sz w:val="20"/>
        </w:rPr>
        <w:t>202</w:t>
      </w:r>
      <w:r w:rsidR="000B3A02">
        <w:rPr>
          <w:sz w:val="20"/>
        </w:rPr>
        <w:t>3</w:t>
      </w:r>
      <w:r w:rsidR="00EF7C38">
        <w:rPr>
          <w:sz w:val="20"/>
        </w:rPr>
        <w:t>;</w:t>
      </w:r>
      <w:r w:rsidRPr="00EF7C38">
        <w:rPr>
          <w:sz w:val="20"/>
        </w:rPr>
        <w:t xml:space="preserve"> or</w:t>
      </w:r>
      <w:r w:rsidR="00EF7C38" w:rsidRPr="00EF7C38">
        <w:rPr>
          <w:sz w:val="20"/>
        </w:rPr>
        <w:t xml:space="preserve"> </w:t>
      </w:r>
    </w:p>
    <w:p w14:paraId="02759D2D" w14:textId="77C0C19F" w:rsidR="00EF7C38" w:rsidRP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 xml:space="preserve">have been entered into during the 12 months prior to </w:t>
      </w:r>
      <w:r w:rsidR="00C056D2">
        <w:rPr>
          <w:sz w:val="20"/>
        </w:rPr>
        <w:t>31 December</w:t>
      </w:r>
      <w:r w:rsidR="00C056D2" w:rsidRPr="00EF7C38">
        <w:rPr>
          <w:sz w:val="20"/>
        </w:rPr>
        <w:t xml:space="preserve"> </w:t>
      </w:r>
      <w:r w:rsidRPr="00EF7C38">
        <w:rPr>
          <w:sz w:val="20"/>
        </w:rPr>
        <w:t>202</w:t>
      </w:r>
      <w:r w:rsidR="000B3A02">
        <w:rPr>
          <w:sz w:val="20"/>
        </w:rPr>
        <w:t>3</w:t>
      </w:r>
      <w:r w:rsidRPr="00EF7C38">
        <w:rPr>
          <w:sz w:val="20"/>
        </w:rPr>
        <w:t>.</w:t>
      </w:r>
      <w:r w:rsidR="00EF7C38" w:rsidRPr="00EF7C38">
        <w:rPr>
          <w:sz w:val="20"/>
        </w:rPr>
        <w:t xml:space="preserve"> </w:t>
      </w:r>
    </w:p>
    <w:p w14:paraId="3780A224" w14:textId="77777777" w:rsidR="00EF7C38" w:rsidRDefault="00EF7C38" w:rsidP="0013051A">
      <w:pPr>
        <w:ind w:left="284" w:right="-479"/>
        <w:rPr>
          <w:sz w:val="20"/>
        </w:rPr>
      </w:pPr>
    </w:p>
    <w:p w14:paraId="6A428298" w14:textId="77777777" w:rsidR="00A8635E" w:rsidRDefault="00A8635E">
      <w:pPr>
        <w:rPr>
          <w:sz w:val="20"/>
        </w:rPr>
      </w:pPr>
      <w:r>
        <w:rPr>
          <w:sz w:val="20"/>
        </w:rPr>
        <w:br w:type="page"/>
      </w:r>
    </w:p>
    <w:p w14:paraId="01EF2D78" w14:textId="2E28B20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lastRenderedPageBreak/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4FB015B5" w14:textId="77777777" w:rsidR="00742335" w:rsidRPr="00742335" w:rsidRDefault="00742335" w:rsidP="00742335">
      <w:pPr>
        <w:ind w:left="284" w:right="-479"/>
        <w:rPr>
          <w:sz w:val="20"/>
        </w:rPr>
      </w:pPr>
    </w:p>
    <w:p w14:paraId="313D94AD" w14:textId="7777777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The reasons for including such clauses include:</w:t>
      </w:r>
    </w:p>
    <w:p w14:paraId="227D8C1D" w14:textId="7777777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•</w:t>
      </w:r>
      <w:r w:rsidRPr="00742335">
        <w:rPr>
          <w:sz w:val="20"/>
        </w:rPr>
        <w:tab/>
        <w:t>Ordinary commercial prudence that requires protection of trade secrets, proprietary information and the like; and/or</w:t>
      </w:r>
    </w:p>
    <w:p w14:paraId="677CAA3B" w14:textId="4574F127" w:rsid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•</w:t>
      </w:r>
      <w:r w:rsidRPr="00742335">
        <w:rPr>
          <w:sz w:val="20"/>
        </w:rPr>
        <w:tab/>
        <w:t>Protection of other Commonwealth material and personal information.</w:t>
      </w:r>
    </w:p>
    <w:p w14:paraId="19CA6CC2" w14:textId="77777777" w:rsidR="00605EF8" w:rsidRDefault="00605EF8" w:rsidP="00742335">
      <w:pPr>
        <w:ind w:left="284" w:right="-479"/>
        <w:rPr>
          <w:sz w:val="20"/>
        </w:rPr>
      </w:pPr>
    </w:p>
    <w:p w14:paraId="5E24805F" w14:textId="20925675" w:rsidR="00742335" w:rsidRDefault="00605EF8" w:rsidP="0013051A">
      <w:pPr>
        <w:ind w:left="284" w:right="-479"/>
        <w:rPr>
          <w:sz w:val="20"/>
        </w:rPr>
      </w:pPr>
      <w:r w:rsidRPr="00605EF8">
        <w:rPr>
          <w:sz w:val="20"/>
        </w:rPr>
        <w:t xml:space="preserve">The accountable authority of </w:t>
      </w:r>
      <w:r>
        <w:rPr>
          <w:sz w:val="20"/>
        </w:rPr>
        <w:t>Australian Centre for International Agricultural Research</w:t>
      </w:r>
      <w:r w:rsidRPr="00EB3FAF">
        <w:rPr>
          <w:sz w:val="20"/>
        </w:rPr>
        <w:t xml:space="preserve"> </w:t>
      </w:r>
      <w:r w:rsidRPr="00605EF8">
        <w:rPr>
          <w:sz w:val="20"/>
        </w:rPr>
        <w:t>has assured that the listed contracts do not contain any inappropriate confidentiality provisions.</w:t>
      </w:r>
    </w:p>
    <w:p w14:paraId="2258721E" w14:textId="77777777" w:rsidR="00605EF8" w:rsidRDefault="00605EF8" w:rsidP="0013051A">
      <w:pPr>
        <w:ind w:left="284" w:right="-479"/>
        <w:rPr>
          <w:sz w:val="20"/>
        </w:rPr>
      </w:pPr>
    </w:p>
    <w:p w14:paraId="72C2107C" w14:textId="128D93D6" w:rsidR="00DF3B80" w:rsidRDefault="00DF3B80" w:rsidP="0013051A">
      <w:pPr>
        <w:ind w:left="284" w:right="-479"/>
        <w:rPr>
          <w:sz w:val="20"/>
        </w:rPr>
      </w:pPr>
      <w:r w:rsidRPr="003864BD">
        <w:rPr>
          <w:sz w:val="20"/>
        </w:rPr>
        <w:t>The listing</w:t>
      </w:r>
      <w:r w:rsidR="0013051A" w:rsidRPr="003864BD">
        <w:rPr>
          <w:sz w:val="20"/>
        </w:rPr>
        <w:t xml:space="preserve"> above </w:t>
      </w:r>
      <w:r w:rsidRPr="003864BD">
        <w:rPr>
          <w:sz w:val="20"/>
        </w:rPr>
        <w:t>is in accordance with Department of Finance requirements</w:t>
      </w:r>
      <w:r w:rsidR="00E153C9">
        <w:rPr>
          <w:sz w:val="20"/>
        </w:rPr>
        <w:t xml:space="preserve"> (</w:t>
      </w:r>
      <w:r w:rsidR="00E153C9" w:rsidRPr="00E153C9">
        <w:rPr>
          <w:sz w:val="20"/>
        </w:rPr>
        <w:t>Meeting the Senate Order for Entity Contracts (RMG 403)</w:t>
      </w:r>
      <w:r w:rsidR="00E67821">
        <w:rPr>
          <w:sz w:val="20"/>
        </w:rPr>
        <w:t>)</w:t>
      </w:r>
      <w:r w:rsidRPr="003864BD">
        <w:rPr>
          <w:sz w:val="20"/>
        </w:rPr>
        <w:t>.</w:t>
      </w:r>
      <w:r w:rsidR="0013051A" w:rsidRPr="003864BD">
        <w:rPr>
          <w:sz w:val="20"/>
        </w:rPr>
        <w:t xml:space="preserve"> </w:t>
      </w:r>
      <w:r w:rsidR="005A161A" w:rsidRPr="005A161A">
        <w:rPr>
          <w:sz w:val="20"/>
        </w:rPr>
        <w:t xml:space="preserve">Procurement contracts are available through the Senate Order Report located on the </w:t>
      </w:r>
      <w:proofErr w:type="spellStart"/>
      <w:r w:rsidR="005A161A" w:rsidRPr="005A161A">
        <w:rPr>
          <w:sz w:val="20"/>
        </w:rPr>
        <w:t>AusTender</w:t>
      </w:r>
      <w:proofErr w:type="spellEnd"/>
      <w:r w:rsidR="005A161A" w:rsidRPr="005A161A">
        <w:rPr>
          <w:sz w:val="20"/>
        </w:rPr>
        <w:t xml:space="preserve"> Homepage (</w:t>
      </w:r>
      <w:hyperlink r:id="rId11" w:history="1">
        <w:r w:rsidR="005A161A" w:rsidRPr="00081B03">
          <w:rPr>
            <w:rStyle w:val="Hyperlink"/>
            <w:sz w:val="20"/>
          </w:rPr>
          <w:t>www.tenders.gov.au</w:t>
        </w:r>
      </w:hyperlink>
      <w:r w:rsidR="005A161A" w:rsidRPr="005A161A">
        <w:rPr>
          <w:sz w:val="20"/>
        </w:rPr>
        <w:t>)</w:t>
      </w:r>
      <w:r w:rsidR="005A161A">
        <w:rPr>
          <w:sz w:val="20"/>
        </w:rPr>
        <w:t xml:space="preserve">. </w:t>
      </w:r>
      <w:r w:rsidR="0013051A" w:rsidRPr="003864BD">
        <w:rPr>
          <w:sz w:val="20"/>
        </w:rPr>
        <w:t xml:space="preserve">For more information on ACIAR contracts please contact </w:t>
      </w:r>
      <w:hyperlink r:id="rId12" w:history="1">
        <w:r w:rsidR="0013051A" w:rsidRPr="003864BD">
          <w:rPr>
            <w:rStyle w:val="Hyperlink"/>
            <w:sz w:val="20"/>
          </w:rPr>
          <w:t>aciar@aciar.gov.au</w:t>
        </w:r>
      </w:hyperlink>
      <w:r w:rsidR="0013051A" w:rsidRPr="003864BD">
        <w:rPr>
          <w:sz w:val="20"/>
        </w:rPr>
        <w:t xml:space="preserve"> </w:t>
      </w:r>
    </w:p>
    <w:p w14:paraId="7A1473BA" w14:textId="77777777" w:rsidR="00605EF8" w:rsidRDefault="00605EF8" w:rsidP="0013051A">
      <w:pPr>
        <w:ind w:left="284" w:right="-479"/>
        <w:rPr>
          <w:sz w:val="20"/>
        </w:rPr>
      </w:pPr>
    </w:p>
    <w:p w14:paraId="71CD7147" w14:textId="77777777" w:rsidR="00605EF8" w:rsidRPr="00605EF8" w:rsidRDefault="00605EF8" w:rsidP="00605EF8">
      <w:pPr>
        <w:ind w:left="284" w:right="-479"/>
        <w:rPr>
          <w:sz w:val="20"/>
        </w:rPr>
      </w:pPr>
      <w:r w:rsidRPr="00605EF8">
        <w:rPr>
          <w:sz w:val="20"/>
        </w:rPr>
        <w:t>Estimated cost of complying with this Order:</w:t>
      </w:r>
      <w:r w:rsidRPr="00605EF8">
        <w:rPr>
          <w:sz w:val="20"/>
        </w:rPr>
        <w:tab/>
      </w:r>
      <w:r w:rsidRPr="00605EF8">
        <w:rPr>
          <w:sz w:val="20"/>
        </w:rPr>
        <w:tab/>
        <w:t>$1,500</w:t>
      </w:r>
      <w:r w:rsidRPr="00605EF8">
        <w:rPr>
          <w:sz w:val="20"/>
        </w:rPr>
        <w:tab/>
      </w:r>
    </w:p>
    <w:p w14:paraId="7789BD2C" w14:textId="717FA89A" w:rsidR="00605EF8" w:rsidRPr="003864BD" w:rsidRDefault="00605EF8" w:rsidP="00605EF8">
      <w:pPr>
        <w:ind w:left="284" w:right="-479"/>
        <w:rPr>
          <w:sz w:val="20"/>
        </w:rPr>
      </w:pPr>
      <w:r w:rsidRPr="00605EF8">
        <w:rPr>
          <w:sz w:val="20"/>
        </w:rPr>
        <w:t>Method used to estimate the cost:</w:t>
      </w:r>
      <w:r w:rsidRPr="00605EF8">
        <w:rPr>
          <w:sz w:val="20"/>
        </w:rPr>
        <w:tab/>
      </w:r>
      <w:r w:rsidRPr="00605EF8">
        <w:rPr>
          <w:sz w:val="20"/>
        </w:rPr>
        <w:tab/>
      </w:r>
      <w:r w:rsidRPr="00605EF8">
        <w:rPr>
          <w:sz w:val="20"/>
        </w:rPr>
        <w:tab/>
        <w:t>Applying salary and on-costs to the number of hours spend by staff across various classifications</w:t>
      </w:r>
    </w:p>
    <w:sectPr w:rsidR="00605EF8" w:rsidRPr="003864BD" w:rsidSect="007D23DC">
      <w:headerReference w:type="default" r:id="rId13"/>
      <w:footerReference w:type="default" r:id="rId14"/>
      <w:pgSz w:w="16838" w:h="11906" w:orient="landscape"/>
      <w:pgMar w:top="1862" w:right="536" w:bottom="851" w:left="426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8101" w14:textId="77777777" w:rsidR="00D4000A" w:rsidRDefault="00D4000A" w:rsidP="00DF3B80">
      <w:r>
        <w:separator/>
      </w:r>
    </w:p>
  </w:endnote>
  <w:endnote w:type="continuationSeparator" w:id="0">
    <w:p w14:paraId="246122B8" w14:textId="77777777" w:rsidR="00D4000A" w:rsidRDefault="00D4000A" w:rsidP="00D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76B4" w14:textId="677CCA03" w:rsidR="00747CD1" w:rsidRPr="00DF3B80" w:rsidRDefault="00747CD1" w:rsidP="007D23DC">
    <w:pPr>
      <w:pStyle w:val="Header"/>
      <w:pBdr>
        <w:top w:val="single" w:sz="4" w:space="1" w:color="auto"/>
      </w:pBdr>
      <w:tabs>
        <w:tab w:val="clear" w:pos="9026"/>
        <w:tab w:val="right" w:pos="15876"/>
      </w:tabs>
      <w:rPr>
        <w:i/>
        <w:iCs/>
        <w:color w:val="525252"/>
      </w:rPr>
    </w:pPr>
    <w:r>
      <w:rPr>
        <w:rStyle w:val="SubtleEmphasis"/>
        <w:color w:val="525252"/>
      </w:rPr>
      <w:t xml:space="preserve">Reported on </w:t>
    </w:r>
    <w:r w:rsidR="004F2AE0">
      <w:rPr>
        <w:rStyle w:val="SubtleEmphasis"/>
        <w:color w:val="525252"/>
      </w:rPr>
      <w:t>23 January 2024</w:t>
    </w:r>
    <w:r w:rsidRPr="00DF3B80">
      <w:rPr>
        <w:rStyle w:val="SubtleEmphasis"/>
        <w:color w:val="525252"/>
      </w:rPr>
      <w:tab/>
    </w:r>
    <w:r w:rsidRPr="00DF3B80">
      <w:rPr>
        <w:rStyle w:val="SubtleEmphasis"/>
        <w:color w:val="525252"/>
      </w:rPr>
      <w:tab/>
    </w:r>
    <w:r w:rsidRPr="00DF3B80">
      <w:rPr>
        <w:color w:val="525252"/>
      </w:rPr>
      <w:t xml:space="preserve">Page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PAGE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1</w:t>
    </w:r>
    <w:r w:rsidRPr="00DF3B80">
      <w:rPr>
        <w:color w:val="525252"/>
        <w:sz w:val="24"/>
        <w:szCs w:val="24"/>
      </w:rPr>
      <w:fldChar w:fldCharType="end"/>
    </w:r>
    <w:r w:rsidRPr="00DF3B80">
      <w:rPr>
        <w:color w:val="525252"/>
      </w:rPr>
      <w:t xml:space="preserve"> of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NUMPAGES 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2</w:t>
    </w:r>
    <w:r w:rsidRPr="00DF3B80">
      <w:rPr>
        <w:color w:val="52525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4EE5" w14:textId="77777777" w:rsidR="00D4000A" w:rsidRDefault="00D4000A" w:rsidP="00DF3B80">
      <w:r>
        <w:separator/>
      </w:r>
    </w:p>
  </w:footnote>
  <w:footnote w:type="continuationSeparator" w:id="0">
    <w:p w14:paraId="5F159E58" w14:textId="77777777" w:rsidR="00D4000A" w:rsidRDefault="00D4000A" w:rsidP="00D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7794" w14:textId="1A31A877" w:rsidR="00747CD1" w:rsidRDefault="00747CD1" w:rsidP="00C56D61">
    <w:pPr>
      <w:tabs>
        <w:tab w:val="left" w:pos="2300"/>
        <w:tab w:val="right" w:pos="9072"/>
      </w:tabs>
      <w:ind w:left="142" w:right="-23"/>
    </w:pPr>
    <w:r>
      <w:rPr>
        <w:noProof/>
      </w:rPr>
      <w:drawing>
        <wp:inline distT="0" distB="0" distL="0" distR="0" wp14:anchorId="14DC9E09" wp14:editId="0FC2C118">
          <wp:extent cx="2698115" cy="664845"/>
          <wp:effectExtent l="0" t="0" r="6985" b="1905"/>
          <wp:docPr id="14" name="Picture 14" descr="Australian Centre for International Agricultural 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Centre for International Agricultural  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C4AD9" w14:textId="77777777" w:rsidR="00747CD1" w:rsidRDefault="00747CD1" w:rsidP="00B04ADC">
    <w:pPr>
      <w:tabs>
        <w:tab w:val="left" w:pos="2300"/>
        <w:tab w:val="right" w:pos="9072"/>
      </w:tabs>
      <w:ind w:left="142" w:right="-23"/>
      <w:jc w:val="right"/>
    </w:pPr>
  </w:p>
  <w:p w14:paraId="782037C0" w14:textId="38D0D7CA" w:rsidR="00747CD1" w:rsidRPr="002E5666" w:rsidRDefault="00716C20" w:rsidP="007D23DC">
    <w:pPr>
      <w:pBdr>
        <w:bottom w:val="single" w:sz="4" w:space="1" w:color="385623"/>
      </w:pBdr>
      <w:tabs>
        <w:tab w:val="left" w:pos="2300"/>
        <w:tab w:val="right" w:pos="9072"/>
      </w:tabs>
      <w:ind w:left="142" w:right="-1"/>
      <w:jc w:val="right"/>
      <w:rPr>
        <w:b/>
        <w:i/>
        <w:color w:val="385623"/>
      </w:rPr>
    </w:pPr>
    <w:r w:rsidRPr="00716C20">
      <w:rPr>
        <w:b/>
        <w:i/>
        <w:color w:val="385623"/>
      </w:rPr>
      <w:t xml:space="preserve">Senate Order on </w:t>
    </w:r>
    <w:r w:rsidR="00605EF8">
      <w:rPr>
        <w:b/>
        <w:i/>
        <w:color w:val="385623"/>
      </w:rPr>
      <w:t>entity contracts</w:t>
    </w:r>
  </w:p>
  <w:p w14:paraId="0707C78D" w14:textId="77777777" w:rsidR="00747CD1" w:rsidRDefault="00747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7972"/>
    <w:multiLevelType w:val="hybridMultilevel"/>
    <w:tmpl w:val="D61EDC02"/>
    <w:lvl w:ilvl="0" w:tplc="0C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075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sTQyNDAxNDQzMjBS0lEKTi0uzszPAykwqgUA0Hl47CwAAAA="/>
  </w:docVars>
  <w:rsids>
    <w:rsidRoot w:val="00B644F5"/>
    <w:rsid w:val="00002006"/>
    <w:rsid w:val="0000657A"/>
    <w:rsid w:val="00035A85"/>
    <w:rsid w:val="00065F60"/>
    <w:rsid w:val="00072B08"/>
    <w:rsid w:val="0007364C"/>
    <w:rsid w:val="00084720"/>
    <w:rsid w:val="000864B8"/>
    <w:rsid w:val="0008764E"/>
    <w:rsid w:val="00087C84"/>
    <w:rsid w:val="000A05B7"/>
    <w:rsid w:val="000A4E78"/>
    <w:rsid w:val="000B3A02"/>
    <w:rsid w:val="000B4FA9"/>
    <w:rsid w:val="000B7D4F"/>
    <w:rsid w:val="000D1B09"/>
    <w:rsid w:val="000E541B"/>
    <w:rsid w:val="000F3232"/>
    <w:rsid w:val="00110AA2"/>
    <w:rsid w:val="001114A3"/>
    <w:rsid w:val="00123656"/>
    <w:rsid w:val="0013051A"/>
    <w:rsid w:val="0014102C"/>
    <w:rsid w:val="00154AAA"/>
    <w:rsid w:val="001719C2"/>
    <w:rsid w:val="00180979"/>
    <w:rsid w:val="001912C1"/>
    <w:rsid w:val="00193F64"/>
    <w:rsid w:val="001A061C"/>
    <w:rsid w:val="001B0E7A"/>
    <w:rsid w:val="001C286F"/>
    <w:rsid w:val="001D2B6A"/>
    <w:rsid w:val="001F0793"/>
    <w:rsid w:val="001F104B"/>
    <w:rsid w:val="001F1FB8"/>
    <w:rsid w:val="00204FD0"/>
    <w:rsid w:val="002050D2"/>
    <w:rsid w:val="002134E9"/>
    <w:rsid w:val="00224EFA"/>
    <w:rsid w:val="00230081"/>
    <w:rsid w:val="00270E88"/>
    <w:rsid w:val="00293A0A"/>
    <w:rsid w:val="002B114F"/>
    <w:rsid w:val="002B1281"/>
    <w:rsid w:val="002E5666"/>
    <w:rsid w:val="002F5376"/>
    <w:rsid w:val="002F55E7"/>
    <w:rsid w:val="003179FC"/>
    <w:rsid w:val="003476D8"/>
    <w:rsid w:val="0036123D"/>
    <w:rsid w:val="003864BD"/>
    <w:rsid w:val="00391103"/>
    <w:rsid w:val="003A0F15"/>
    <w:rsid w:val="003B03A9"/>
    <w:rsid w:val="003C6675"/>
    <w:rsid w:val="003D086B"/>
    <w:rsid w:val="003D4453"/>
    <w:rsid w:val="003D59FE"/>
    <w:rsid w:val="004242F4"/>
    <w:rsid w:val="00435FCE"/>
    <w:rsid w:val="00443B4D"/>
    <w:rsid w:val="00461D79"/>
    <w:rsid w:val="004928B0"/>
    <w:rsid w:val="004A3AB1"/>
    <w:rsid w:val="004A70A2"/>
    <w:rsid w:val="004E2C17"/>
    <w:rsid w:val="004F2AE0"/>
    <w:rsid w:val="004F3052"/>
    <w:rsid w:val="00512B9D"/>
    <w:rsid w:val="005403D6"/>
    <w:rsid w:val="005436DA"/>
    <w:rsid w:val="00556E3B"/>
    <w:rsid w:val="00585EAB"/>
    <w:rsid w:val="005940F2"/>
    <w:rsid w:val="005A161A"/>
    <w:rsid w:val="005B4B1F"/>
    <w:rsid w:val="005C2C72"/>
    <w:rsid w:val="005C3622"/>
    <w:rsid w:val="005C459E"/>
    <w:rsid w:val="005D7D6D"/>
    <w:rsid w:val="00605EF8"/>
    <w:rsid w:val="00615384"/>
    <w:rsid w:val="00615451"/>
    <w:rsid w:val="00617C34"/>
    <w:rsid w:val="00631E7F"/>
    <w:rsid w:val="006407E8"/>
    <w:rsid w:val="00642AC8"/>
    <w:rsid w:val="00670A02"/>
    <w:rsid w:val="00683BC8"/>
    <w:rsid w:val="00693F1C"/>
    <w:rsid w:val="006A0124"/>
    <w:rsid w:val="006B10F8"/>
    <w:rsid w:val="006C493D"/>
    <w:rsid w:val="006C7024"/>
    <w:rsid w:val="006D05E9"/>
    <w:rsid w:val="006D67A9"/>
    <w:rsid w:val="006E5494"/>
    <w:rsid w:val="006E5D45"/>
    <w:rsid w:val="007108B9"/>
    <w:rsid w:val="0071586D"/>
    <w:rsid w:val="00716C20"/>
    <w:rsid w:val="00716D46"/>
    <w:rsid w:val="00721129"/>
    <w:rsid w:val="0072483E"/>
    <w:rsid w:val="0074157F"/>
    <w:rsid w:val="00742335"/>
    <w:rsid w:val="007429F2"/>
    <w:rsid w:val="00747CD1"/>
    <w:rsid w:val="00760EC8"/>
    <w:rsid w:val="007A3BC1"/>
    <w:rsid w:val="007B0526"/>
    <w:rsid w:val="007C29FA"/>
    <w:rsid w:val="007D1397"/>
    <w:rsid w:val="007D1BE1"/>
    <w:rsid w:val="007D20FB"/>
    <w:rsid w:val="007D23DC"/>
    <w:rsid w:val="007D63D2"/>
    <w:rsid w:val="007F4298"/>
    <w:rsid w:val="00813522"/>
    <w:rsid w:val="00817B5B"/>
    <w:rsid w:val="00823BB6"/>
    <w:rsid w:val="00834BD6"/>
    <w:rsid w:val="00847C8D"/>
    <w:rsid w:val="00872D61"/>
    <w:rsid w:val="008B57BF"/>
    <w:rsid w:val="008C3727"/>
    <w:rsid w:val="008C79A2"/>
    <w:rsid w:val="008D4188"/>
    <w:rsid w:val="008D6E19"/>
    <w:rsid w:val="008F0B5F"/>
    <w:rsid w:val="00901850"/>
    <w:rsid w:val="00905074"/>
    <w:rsid w:val="009377F2"/>
    <w:rsid w:val="00940D64"/>
    <w:rsid w:val="0094449E"/>
    <w:rsid w:val="009813DC"/>
    <w:rsid w:val="009D3A23"/>
    <w:rsid w:val="009E79BA"/>
    <w:rsid w:val="009F41A2"/>
    <w:rsid w:val="00A15761"/>
    <w:rsid w:val="00A24A4D"/>
    <w:rsid w:val="00A303C1"/>
    <w:rsid w:val="00A33025"/>
    <w:rsid w:val="00A442D6"/>
    <w:rsid w:val="00A6518C"/>
    <w:rsid w:val="00A7102E"/>
    <w:rsid w:val="00A71A57"/>
    <w:rsid w:val="00A81275"/>
    <w:rsid w:val="00A8635E"/>
    <w:rsid w:val="00A92B4C"/>
    <w:rsid w:val="00A97361"/>
    <w:rsid w:val="00AB1CB4"/>
    <w:rsid w:val="00AB2D1A"/>
    <w:rsid w:val="00AC6E06"/>
    <w:rsid w:val="00AD33E4"/>
    <w:rsid w:val="00AD6873"/>
    <w:rsid w:val="00AE0679"/>
    <w:rsid w:val="00AE4A19"/>
    <w:rsid w:val="00AE7697"/>
    <w:rsid w:val="00B04ADC"/>
    <w:rsid w:val="00B15AE7"/>
    <w:rsid w:val="00B205AF"/>
    <w:rsid w:val="00B27DEC"/>
    <w:rsid w:val="00B644F5"/>
    <w:rsid w:val="00B700A2"/>
    <w:rsid w:val="00B72613"/>
    <w:rsid w:val="00B7531F"/>
    <w:rsid w:val="00B80B30"/>
    <w:rsid w:val="00B823FE"/>
    <w:rsid w:val="00B85EA5"/>
    <w:rsid w:val="00B9229F"/>
    <w:rsid w:val="00BA3255"/>
    <w:rsid w:val="00BC5736"/>
    <w:rsid w:val="00BC6FE3"/>
    <w:rsid w:val="00BD4AFC"/>
    <w:rsid w:val="00BE4BF1"/>
    <w:rsid w:val="00BE7DEB"/>
    <w:rsid w:val="00BF3A98"/>
    <w:rsid w:val="00C056D2"/>
    <w:rsid w:val="00C13FF0"/>
    <w:rsid w:val="00C158F6"/>
    <w:rsid w:val="00C15B4F"/>
    <w:rsid w:val="00C248DC"/>
    <w:rsid w:val="00C43729"/>
    <w:rsid w:val="00C53213"/>
    <w:rsid w:val="00C56D61"/>
    <w:rsid w:val="00C85BC1"/>
    <w:rsid w:val="00C871B1"/>
    <w:rsid w:val="00C87BC4"/>
    <w:rsid w:val="00C91140"/>
    <w:rsid w:val="00D01D02"/>
    <w:rsid w:val="00D01E5C"/>
    <w:rsid w:val="00D03049"/>
    <w:rsid w:val="00D05EE9"/>
    <w:rsid w:val="00D15AE0"/>
    <w:rsid w:val="00D2093A"/>
    <w:rsid w:val="00D20E0C"/>
    <w:rsid w:val="00D230A1"/>
    <w:rsid w:val="00D24876"/>
    <w:rsid w:val="00D313E4"/>
    <w:rsid w:val="00D344E3"/>
    <w:rsid w:val="00D358AB"/>
    <w:rsid w:val="00D360A7"/>
    <w:rsid w:val="00D4000A"/>
    <w:rsid w:val="00D42457"/>
    <w:rsid w:val="00D4389D"/>
    <w:rsid w:val="00D47019"/>
    <w:rsid w:val="00D81E96"/>
    <w:rsid w:val="00D8206C"/>
    <w:rsid w:val="00D83FBA"/>
    <w:rsid w:val="00D92C6D"/>
    <w:rsid w:val="00DB6E7B"/>
    <w:rsid w:val="00DC41C3"/>
    <w:rsid w:val="00DF3B80"/>
    <w:rsid w:val="00DF6491"/>
    <w:rsid w:val="00E153C9"/>
    <w:rsid w:val="00E21988"/>
    <w:rsid w:val="00E34B0E"/>
    <w:rsid w:val="00E51E92"/>
    <w:rsid w:val="00E57315"/>
    <w:rsid w:val="00E67821"/>
    <w:rsid w:val="00E70263"/>
    <w:rsid w:val="00E87C81"/>
    <w:rsid w:val="00E90799"/>
    <w:rsid w:val="00EB3FAF"/>
    <w:rsid w:val="00EB4ED5"/>
    <w:rsid w:val="00EC72D8"/>
    <w:rsid w:val="00EC7D29"/>
    <w:rsid w:val="00ED6345"/>
    <w:rsid w:val="00EF7C38"/>
    <w:rsid w:val="00F239E6"/>
    <w:rsid w:val="00F3566B"/>
    <w:rsid w:val="00F4292C"/>
    <w:rsid w:val="00F443C9"/>
    <w:rsid w:val="00F51BA2"/>
    <w:rsid w:val="00F56EF5"/>
    <w:rsid w:val="00F83DF3"/>
    <w:rsid w:val="00F91B20"/>
    <w:rsid w:val="00F9206C"/>
    <w:rsid w:val="00F9521D"/>
    <w:rsid w:val="00FA5F94"/>
    <w:rsid w:val="00FB549B"/>
    <w:rsid w:val="00FD0ADA"/>
    <w:rsid w:val="00FD3C9C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967ED0"/>
  <w15:chartTrackingRefBased/>
  <w15:docId w15:val="{D770FF07-70DB-4E5B-90EB-ABE25A9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2D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DF3B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3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3B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B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F3B80"/>
    <w:rPr>
      <w:i/>
      <w:iCs/>
      <w:color w:val="808080"/>
    </w:rPr>
  </w:style>
  <w:style w:type="character" w:styleId="Hyperlink">
    <w:name w:val="Hyperlink"/>
    <w:uiPriority w:val="99"/>
    <w:unhideWhenUsed/>
    <w:rsid w:val="0013051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C38"/>
    <w:pPr>
      <w:ind w:left="720"/>
      <w:contextualSpacing/>
    </w:pPr>
  </w:style>
  <w:style w:type="paragraph" w:styleId="Revision">
    <w:name w:val="Revision"/>
    <w:hidden/>
    <w:uiPriority w:val="99"/>
    <w:semiHidden/>
    <w:rsid w:val="00F83D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iar@aciar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s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2929B4EADA24A9CC5960AF06DBD3D" ma:contentTypeVersion="11" ma:contentTypeDescription="Create a new document." ma:contentTypeScope="" ma:versionID="cf39fa2d6f63017766c008e46b6c4b93">
  <xsd:schema xmlns:xsd="http://www.w3.org/2001/XMLSchema" xmlns:xs="http://www.w3.org/2001/XMLSchema" xmlns:p="http://schemas.microsoft.com/office/2006/metadata/properties" xmlns:ns3="0160c671-45d0-48ab-bb64-e35694dbf98c" targetNamespace="http://schemas.microsoft.com/office/2006/metadata/properties" ma:root="true" ma:fieldsID="391df2284880307fdb7efbe8a948ec25" ns3:_="">
    <xsd:import namespace="0160c671-45d0-48ab-bb64-e35694db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0c671-45d0-48ab-bb64-e35694dbf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D9B7A-7958-438E-B677-65DD87222E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91EA43-21C5-4DED-9E34-6E4E5057CA8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0160c671-45d0-48ab-bb64-e35694dbf98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9D6FA5-0771-48CE-A2E7-28E8CBD28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BCBDC-31D4-4E56-81F7-1EC541FC2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0c671-45d0-48ab-bb64-e35694db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&gt;$100,000 Senate Standing Order Financial Year Report 1 July 2020 – 30 June 2021</vt:lpstr>
    </vt:vector>
  </TitlesOfParts>
  <Company>ACIAR</Company>
  <LinksUpToDate>false</LinksUpToDate>
  <CharactersWithSpaces>4969</CharactersWithSpaces>
  <SharedDoc>false</SharedDoc>
  <HLinks>
    <vt:vector size="6" baseType="variant"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mailto:aciar@aciar.gov.au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&gt;$100,000 Senate Standing Order Financial Year Report 1 July 2020 – 30 June 2021</dc:title>
  <dc:subject/>
  <dc:creator>ACIAR</dc:creator>
  <cp:keywords/>
  <dc:description/>
  <cp:lastModifiedBy>ACIAR</cp:lastModifiedBy>
  <cp:revision>2</cp:revision>
  <cp:lastPrinted>2023-08-03T00:29:00Z</cp:lastPrinted>
  <dcterms:created xsi:type="dcterms:W3CDTF">2024-01-22T22:08:00Z</dcterms:created>
  <dcterms:modified xsi:type="dcterms:W3CDTF">2024-01-22T22:08:00Z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HK7NV72NNZFS-354181681-27730</vt:lpwstr>
  </property>
  <property fmtid="{D5CDD505-2E9C-101B-9397-08002B2CF9AE}" pid="3" name="_dlc_DocIdItemGuid">
    <vt:lpwstr>14804903-55fd-4e24-93ae-d8b16f8795c2</vt:lpwstr>
  </property>
  <property fmtid="{D5CDD505-2E9C-101B-9397-08002B2CF9AE}" pid="4" name="_dlc_DocIdUrl">
    <vt:lpwstr>https://aciar.sharepoint.com/unit/GR/_layouts/15/DocIdRedir.aspx?ID=HK7NV72NNZFS-354181681-27730, HK7NV72NNZFS-354181681-27730</vt:lpwstr>
  </property>
  <property fmtid="{D5CDD505-2E9C-101B-9397-08002B2CF9AE}" pid="5" name="Reporting Acitvity">
    <vt:lpwstr>Senate Order</vt:lpwstr>
  </property>
  <property fmtid="{D5CDD505-2E9C-101B-9397-08002B2CF9AE}" pid="6" name="Process">
    <vt:lpwstr>Risk</vt:lpwstr>
  </property>
  <property fmtid="{D5CDD505-2E9C-101B-9397-08002B2CF9AE}" pid="7" name="Category">
    <vt:lpwstr/>
  </property>
  <property fmtid="{D5CDD505-2E9C-101B-9397-08002B2CF9AE}" pid="8" name="Process/Activity">
    <vt:lpwstr>Guidance</vt:lpwstr>
  </property>
  <property fmtid="{D5CDD505-2E9C-101B-9397-08002B2CF9AE}" pid="9" name="Legal">
    <vt:lpwstr/>
  </property>
  <property fmtid="{D5CDD505-2E9C-101B-9397-08002B2CF9AE}" pid="10" name="Region">
    <vt:lpwstr/>
  </property>
  <property fmtid="{D5CDD505-2E9C-101B-9397-08002B2CF9AE}" pid="11" name="Advice Activity">
    <vt:lpwstr/>
  </property>
  <property fmtid="{D5CDD505-2E9C-101B-9397-08002B2CF9AE}" pid="12" name="Activity">
    <vt:lpwstr/>
  </property>
  <property fmtid="{D5CDD505-2E9C-101B-9397-08002B2CF9AE}" pid="13" name="Country">
    <vt:lpwstr/>
  </property>
  <property fmtid="{D5CDD505-2E9C-101B-9397-08002B2CF9AE}" pid="14" name="Activity Type">
    <vt:lpwstr>;#How to;#</vt:lpwstr>
  </property>
  <property fmtid="{D5CDD505-2E9C-101B-9397-08002B2CF9AE}" pid="15" name="ContentTypeId">
    <vt:lpwstr>0x010100CA12929B4EADA24A9CC5960AF06DBD3D</vt:lpwstr>
  </property>
</Properties>
</file>